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E60" w:rsidRDefault="00D94CAB" w:rsidP="00D84E6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>Informație cu</w:t>
      </w:r>
      <w:r w:rsidR="00D84E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privire la activitatea serviciului administrare vinietă pe</w:t>
      </w:r>
      <w:r w:rsidR="001F6E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perioada martie-mai 2017</w:t>
      </w:r>
    </w:p>
    <w:p w:rsidR="00D84E60" w:rsidRDefault="00D84E60" w:rsidP="00D84E6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84E60" w:rsidRDefault="00D84E60" w:rsidP="00D84E6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Începând cu data de 20 februarie 2017, serviciul a</w:t>
      </w:r>
      <w:r w:rsidR="004271DC">
        <w:rPr>
          <w:rFonts w:ascii="Times New Roman" w:hAnsi="Times New Roman" w:cs="Times New Roman"/>
          <w:sz w:val="28"/>
          <w:szCs w:val="28"/>
          <w:lang w:val="ro-RO"/>
        </w:rPr>
        <w:t xml:space="preserve">dministrare vinietă din cadrul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Î.S. </w:t>
      </w:r>
      <w:r w:rsidR="004271DC">
        <w:rPr>
          <w:rFonts w:ascii="Times New Roman" w:hAnsi="Times New Roman" w:cs="Times New Roman"/>
          <w:sz w:val="28"/>
          <w:szCs w:val="28"/>
          <w:lang w:val="ro-RO"/>
        </w:rPr>
        <w:t>,,</w:t>
      </w:r>
      <w:r>
        <w:rPr>
          <w:rFonts w:ascii="Times New Roman" w:hAnsi="Times New Roman" w:cs="Times New Roman"/>
          <w:sz w:val="28"/>
          <w:szCs w:val="28"/>
          <w:lang w:val="ro-RO"/>
        </w:rPr>
        <w:t>Administrația de Stat a Drumurilor”, a preluat administrarea procesului de procurare, evidență și raportare a vinietelor.</w:t>
      </w:r>
    </w:p>
    <w:p w:rsidR="00D84E60" w:rsidRDefault="00D84E60" w:rsidP="00D84E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en-US" w:eastAsia="ru-RU"/>
        </w:rPr>
        <w:t>Vinieta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este taxa pentru folosirea drumurilor din Republica Moldova de către autovehiculele neînmatriculate în Republica Moldova, clasi</w:t>
      </w:r>
      <w:r w:rsidR="004271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ficate la poziţia tarifară 8703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şi de către remorcile ataşate la acestea, clasificate la poziţia tarifară 8716, a cărei plată se confirmă printr-un certificat valabil pe o anumită perioadă de timp.</w:t>
      </w:r>
    </w:p>
    <w:p w:rsidR="00D84E60" w:rsidRPr="00070397" w:rsidRDefault="00D84E60" w:rsidP="00D84E6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La moment, vinieta poate fi procurată  la filialele și agențiile băncii Moldova Agroindbank, la terminalele de plată (QIWI, Payn</w:t>
      </w:r>
      <w:r w:rsidR="00D94CAB">
        <w:rPr>
          <w:rFonts w:ascii="Times New Roman" w:hAnsi="Times New Roman"/>
          <w:sz w:val="28"/>
          <w:szCs w:val="28"/>
          <w:lang w:val="ro-RO"/>
        </w:rPr>
        <w:t>et, P</w:t>
      </w:r>
      <w:r>
        <w:rPr>
          <w:rFonts w:ascii="Times New Roman" w:hAnsi="Times New Roman"/>
          <w:sz w:val="28"/>
          <w:szCs w:val="28"/>
          <w:lang w:val="ro-RO"/>
        </w:rPr>
        <w:t>aymaster și MMPS)</w:t>
      </w:r>
      <w:r w:rsidR="004271DC">
        <w:rPr>
          <w:rFonts w:ascii="Times New Roman" w:hAnsi="Times New Roman"/>
          <w:sz w:val="28"/>
          <w:szCs w:val="28"/>
          <w:lang w:val="ro-RO"/>
        </w:rPr>
        <w:t>,</w:t>
      </w:r>
      <w:r>
        <w:rPr>
          <w:rFonts w:ascii="Times New Roman" w:hAnsi="Times New Roman"/>
          <w:sz w:val="28"/>
          <w:szCs w:val="28"/>
          <w:lang w:val="ro-RO"/>
        </w:rPr>
        <w:t xml:space="preserve"> dar și online, accesând pagina web </w:t>
      </w:r>
      <w:hyperlink r:id="rId7" w:history="1">
        <w:r>
          <w:rPr>
            <w:rStyle w:val="a4"/>
            <w:rFonts w:ascii="Times New Roman" w:hAnsi="Times New Roman"/>
            <w:sz w:val="28"/>
            <w:szCs w:val="28"/>
            <w:lang w:val="ro-RO"/>
          </w:rPr>
          <w:t>www.vinieta.gov.md</w:t>
        </w:r>
      </w:hyperlink>
      <w:r>
        <w:rPr>
          <w:rFonts w:ascii="Times New Roman" w:hAnsi="Times New Roman"/>
          <w:sz w:val="28"/>
          <w:szCs w:val="28"/>
          <w:lang w:val="ro-RO"/>
        </w:rPr>
        <w:t xml:space="preserve">, prin intermediul Serviciului Guvernamental de plăți electronice (MPay). Pentru a ușura procesul de înregistrare și procurare a vinietei, </w:t>
      </w:r>
      <w:r w:rsidR="00070397">
        <w:rPr>
          <w:rFonts w:ascii="Times New Roman" w:hAnsi="Times New Roman"/>
          <w:sz w:val="28"/>
          <w:szCs w:val="28"/>
          <w:lang w:val="ro-RO"/>
        </w:rPr>
        <w:t xml:space="preserve">a fost creat </w:t>
      </w:r>
      <w:r w:rsidR="00070397" w:rsidRPr="00070397">
        <w:rPr>
          <w:rFonts w:ascii="Times New Roman" w:hAnsi="Times New Roman"/>
          <w:i/>
          <w:sz w:val="28"/>
          <w:szCs w:val="28"/>
          <w:lang w:val="ro-RO"/>
        </w:rPr>
        <w:t>„Ghidul de utilizare”</w:t>
      </w:r>
      <w:r w:rsidR="00070397">
        <w:rPr>
          <w:rFonts w:ascii="Times New Roman" w:hAnsi="Times New Roman"/>
          <w:sz w:val="28"/>
          <w:szCs w:val="28"/>
          <w:lang w:val="ro-RO"/>
        </w:rPr>
        <w:t xml:space="preserve">, pus la dispoziția utilizatorului atât pe pagina web a vinietei în compartimentul </w:t>
      </w:r>
      <w:r w:rsidR="00070397" w:rsidRPr="00070397">
        <w:rPr>
          <w:rFonts w:ascii="Times New Roman" w:hAnsi="Times New Roman"/>
          <w:i/>
          <w:sz w:val="28"/>
          <w:szCs w:val="28"/>
          <w:lang w:val="ro-RO"/>
        </w:rPr>
        <w:t>„Despre”</w:t>
      </w:r>
      <w:r w:rsidR="00070397">
        <w:rPr>
          <w:rFonts w:ascii="Times New Roman" w:hAnsi="Times New Roman"/>
          <w:sz w:val="28"/>
          <w:szCs w:val="28"/>
          <w:lang w:val="ro-RO"/>
        </w:rPr>
        <w:t xml:space="preserve">, cât și pe </w:t>
      </w:r>
      <w:hyperlink r:id="rId8" w:history="1">
        <w:r w:rsidR="00D94CAB" w:rsidRPr="00550822">
          <w:rPr>
            <w:rStyle w:val="a4"/>
            <w:rFonts w:ascii="Times New Roman" w:hAnsi="Times New Roman"/>
            <w:sz w:val="28"/>
            <w:szCs w:val="28"/>
            <w:lang w:val="ro-RO"/>
          </w:rPr>
          <w:t>www.asd.md</w:t>
        </w:r>
      </w:hyperlink>
      <w:r w:rsidR="00D94CAB">
        <w:rPr>
          <w:rFonts w:ascii="Times New Roman" w:hAnsi="Times New Roman"/>
          <w:sz w:val="28"/>
          <w:szCs w:val="28"/>
          <w:lang w:val="ro-RO"/>
        </w:rPr>
        <w:t xml:space="preserve"> .</w:t>
      </w:r>
    </w:p>
    <w:p w:rsidR="00D84E60" w:rsidRDefault="00D84E60" w:rsidP="00D84E6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În cazul completării formularului de plată a vinietei de către operatorii băncii, beneficiarii vor achita pentru acest serviciu un comision de 7 mdl </w:t>
      </w:r>
      <w:r w:rsidR="00070397">
        <w:rPr>
          <w:rFonts w:ascii="Times New Roman" w:hAnsi="Times New Roman"/>
          <w:sz w:val="28"/>
          <w:szCs w:val="28"/>
          <w:lang w:val="ro-RO"/>
        </w:rPr>
        <w:t>sau 1,5% din taxa achitată. B</w:t>
      </w:r>
      <w:r>
        <w:rPr>
          <w:rFonts w:ascii="Times New Roman" w:hAnsi="Times New Roman"/>
          <w:sz w:val="28"/>
          <w:szCs w:val="28"/>
          <w:lang w:val="ro-RO"/>
        </w:rPr>
        <w:t>anca v</w:t>
      </w:r>
      <w:r w:rsidR="00070397">
        <w:rPr>
          <w:rFonts w:ascii="Times New Roman" w:hAnsi="Times New Roman"/>
          <w:sz w:val="28"/>
          <w:szCs w:val="28"/>
          <w:lang w:val="ro-RO"/>
        </w:rPr>
        <w:t>a elibera o confirmare de plată a vinietei.</w:t>
      </w:r>
    </w:p>
    <w:p w:rsidR="00D94CAB" w:rsidRDefault="00D94CAB" w:rsidP="00D94CA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Conform datelor statistice, pe perioada martie – mai, au fost procurate 128259 viniete</w:t>
      </w:r>
      <w:r w:rsidR="004271DC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iar </w:t>
      </w:r>
      <w:r>
        <w:rPr>
          <w:rFonts w:ascii="Times New Roman" w:hAnsi="Times New Roman" w:cs="Times New Roman"/>
          <w:sz w:val="28"/>
          <w:szCs w:val="28"/>
          <w:lang w:val="ro-RO"/>
        </w:rPr>
        <w:t>încasările au constituit 22</w:t>
      </w:r>
      <w:r w:rsidR="004271DC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>856</w:t>
      </w:r>
      <w:r w:rsidR="004271DC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>759 lei.</w:t>
      </w:r>
    </w:p>
    <w:p w:rsidR="00D94CAB" w:rsidRDefault="004271DC" w:rsidP="00D94C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Pe parcursul a 3 luni</w:t>
      </w:r>
      <w:r w:rsidR="00D94CAB">
        <w:rPr>
          <w:rFonts w:ascii="Times New Roman" w:hAnsi="Times New Roman" w:cs="Times New Roman"/>
          <w:sz w:val="28"/>
          <w:szCs w:val="28"/>
          <w:lang w:val="ro-RO"/>
        </w:rPr>
        <w:t xml:space="preserve"> au apărut un șir de probleme ce țin de procurarea vinietei online. Serviciul administrare vinietă, împreună cu reprezentanții MAIB și E-gov, a</w:t>
      </w:r>
      <w:r>
        <w:rPr>
          <w:rFonts w:ascii="Times New Roman" w:hAnsi="Times New Roman" w:cs="Times New Roman"/>
          <w:sz w:val="28"/>
          <w:szCs w:val="28"/>
          <w:lang w:val="ro-RO"/>
        </w:rPr>
        <w:t>u</w:t>
      </w:r>
      <w:r w:rsidR="00D94CAB">
        <w:rPr>
          <w:rFonts w:ascii="Times New Roman" w:hAnsi="Times New Roman" w:cs="Times New Roman"/>
          <w:sz w:val="28"/>
          <w:szCs w:val="28"/>
          <w:lang w:val="ro-RO"/>
        </w:rPr>
        <w:t xml:space="preserve"> intervenit prompt de fiecare dată pentru soluționarea acestora. </w:t>
      </w:r>
    </w:p>
    <w:p w:rsidR="00D94CAB" w:rsidRPr="00FE7054" w:rsidRDefault="00D94CAB" w:rsidP="00D94C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moment, se lucrează la conceptul unui Sistem Informațional Automatizat de Stat (SIAS E-vinieta), ce are menirea să eficientizeze procesul de administrare, procurare și control a vinietei. Acesta va face conexiune între programele serviciilor (ASD, MAIB, MAI, Poliția de Frontieră, E-gov și Serviciul Vamal)</w:t>
      </w:r>
      <w:r w:rsidR="004271DC">
        <w:rPr>
          <w:rFonts w:ascii="Times New Roman" w:hAnsi="Times New Roman" w:cs="Times New Roman"/>
          <w:sz w:val="28"/>
          <w:szCs w:val="28"/>
          <w:lang w:val="ro-RO"/>
        </w:rPr>
        <w:t>, astfel încâ</w:t>
      </w:r>
      <w:r>
        <w:rPr>
          <w:rFonts w:ascii="Times New Roman" w:hAnsi="Times New Roman" w:cs="Times New Roman"/>
          <w:sz w:val="28"/>
          <w:szCs w:val="28"/>
          <w:lang w:val="ro-RO"/>
        </w:rPr>
        <w:t>t contribuabilii să beneficieze de un serviciu modern și de înaltă calitate.</w:t>
      </w:r>
    </w:p>
    <w:p w:rsidR="00D84E60" w:rsidRDefault="004271DC" w:rsidP="00D84E6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lastRenderedPageBreak/>
        <w:t>Adăugător, v</w:t>
      </w:r>
      <w:r w:rsidR="00D94CAB">
        <w:rPr>
          <w:rFonts w:ascii="Times New Roman" w:hAnsi="Times New Roman"/>
          <w:sz w:val="28"/>
          <w:szCs w:val="28"/>
          <w:lang w:val="ro-RO"/>
        </w:rPr>
        <w:t>ă informăm că începând cu data de 1 ianuarie 2017, taxa pentru vinietă a fost majorată, iar în tabelul de mai jos, prezentăm tarifele pentru fiecare tip de vinietă.</w:t>
      </w:r>
    </w:p>
    <w:p w:rsidR="00D94CAB" w:rsidRDefault="00D94CAB" w:rsidP="00D84E6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D84E60" w:rsidRDefault="00D84E60" w:rsidP="00D84E6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Prețurile vinietei</w:t>
      </w: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3825"/>
        <w:gridCol w:w="2694"/>
        <w:gridCol w:w="3262"/>
      </w:tblGrid>
      <w:tr w:rsidR="00D84E60" w:rsidTr="00D84E60">
        <w:trPr>
          <w:trHeight w:val="52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E60" w:rsidRDefault="00D84E60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Obiectul impunerii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E60" w:rsidRDefault="00D84E60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Perioada (zile)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E60" w:rsidRDefault="00D84E60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Taxa (euro)</w:t>
            </w:r>
          </w:p>
        </w:tc>
      </w:tr>
      <w:tr w:rsidR="00D84E60" w:rsidTr="00D84E60">
        <w:trPr>
          <w:trHeight w:val="24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E60" w:rsidRDefault="00D84E60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Autovehiculele clasificate la poziția tarifară 8703 și remorcile atașate la acestea, clasificate la poziția tarifară 8716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E60" w:rsidRDefault="00D84E6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  <w:p w:rsidR="00D84E60" w:rsidRDefault="00D84E6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  <w:p w:rsidR="00D84E60" w:rsidRDefault="00D84E6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  <w:p w:rsidR="00D84E60" w:rsidRDefault="00D84E6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</w:p>
          <w:p w:rsidR="00D84E60" w:rsidRDefault="00D84E6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E60" w:rsidRDefault="00D84E6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  <w:p w:rsidR="00D84E60" w:rsidRDefault="00D84E6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  <w:p w:rsidR="00D84E60" w:rsidRDefault="00D84E6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  <w:p w:rsidR="00D84E60" w:rsidRDefault="00D84E6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  <w:p w:rsidR="00D84E60" w:rsidRDefault="00D84E6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85</w:t>
            </w:r>
          </w:p>
        </w:tc>
      </w:tr>
      <w:tr w:rsidR="00D84E60" w:rsidRPr="004271DC" w:rsidTr="00D84E60">
        <w:trPr>
          <w:trHeight w:val="389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E60" w:rsidRDefault="00D84E60" w:rsidP="004271D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Autovehiculele clasificate la poziția tarifară 8703  și remorcile atașate la acestea, clasificate la poziția tarifară 8716, introdu</w:t>
            </w:r>
            <w:r w:rsidR="004271DC">
              <w:rPr>
                <w:rFonts w:ascii="Times New Roman" w:hAnsi="Times New Roman"/>
                <w:sz w:val="26"/>
                <w:szCs w:val="26"/>
                <w:lang w:val="en-US"/>
              </w:rPr>
              <w:t>s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e pe teritoriul vamal de către persoanele fizice c</w:t>
            </w:r>
            <w:r w:rsidR="004271DC">
              <w:rPr>
                <w:rFonts w:ascii="Times New Roman" w:hAnsi="Times New Roman"/>
                <w:sz w:val="26"/>
                <w:szCs w:val="26"/>
                <w:lang w:val="en-US"/>
              </w:rPr>
              <w:t>u domiciuliul în orice stat stră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in și care dețin permis de conducere emis în țara în care au domiciliu, declarate prin acțiune, aflate pe teritoriul vamal al Republicii Moldova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E60" w:rsidRDefault="00D84E6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Peste 180</w:t>
            </w:r>
          </w:p>
          <w:p w:rsidR="00D84E60" w:rsidRDefault="00D84E60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În decursul a 12 luni consecutive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E60" w:rsidRDefault="00D84E6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180</w:t>
            </w:r>
          </w:p>
          <w:p w:rsidR="00D84E60" w:rsidRDefault="00D84E6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Se achită pentru fiecare perioadă consecutivă de 180 de zile, inclusiv perioadele incomplete ce urmează după primele 180 de zile</w:t>
            </w:r>
          </w:p>
        </w:tc>
      </w:tr>
    </w:tbl>
    <w:p w:rsidR="00BB6F36" w:rsidRDefault="00BB6F36" w:rsidP="00D94CA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94CAB" w:rsidRDefault="00D94CAB" w:rsidP="00D94CA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94CAB" w:rsidRDefault="00D94CAB" w:rsidP="00D94CAB">
      <w:pPr>
        <w:rPr>
          <w:lang w:val="en-US"/>
        </w:rPr>
      </w:pPr>
    </w:p>
    <w:p w:rsidR="00D94CAB" w:rsidRPr="00D94CAB" w:rsidRDefault="00D94CAB" w:rsidP="00D94CA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</w:t>
      </w:r>
      <w:r w:rsidRPr="00D94C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Șef serviciu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</w:t>
      </w:r>
      <w:r w:rsidRPr="00D94CAB">
        <w:rPr>
          <w:rFonts w:ascii="Times New Roman" w:hAnsi="Times New Roman" w:cs="Times New Roman"/>
          <w:b/>
          <w:sz w:val="28"/>
          <w:szCs w:val="28"/>
          <w:lang w:val="en-US"/>
        </w:rPr>
        <w:t>Petru CANGEA</w:t>
      </w:r>
      <w:bookmarkEnd w:id="0"/>
    </w:p>
    <w:sectPr w:rsidR="00D94CAB" w:rsidRPr="00D94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5D9" w:rsidRDefault="004535D9" w:rsidP="001F6E88">
      <w:pPr>
        <w:spacing w:after="0" w:line="240" w:lineRule="auto"/>
      </w:pPr>
      <w:r>
        <w:separator/>
      </w:r>
    </w:p>
  </w:endnote>
  <w:endnote w:type="continuationSeparator" w:id="0">
    <w:p w:rsidR="004535D9" w:rsidRDefault="004535D9" w:rsidP="001F6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5D9" w:rsidRDefault="004535D9" w:rsidP="001F6E88">
      <w:pPr>
        <w:spacing w:after="0" w:line="240" w:lineRule="auto"/>
      </w:pPr>
      <w:r>
        <w:separator/>
      </w:r>
    </w:p>
  </w:footnote>
  <w:footnote w:type="continuationSeparator" w:id="0">
    <w:p w:rsidR="004535D9" w:rsidRDefault="004535D9" w:rsidP="001F6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31AD"/>
    <w:multiLevelType w:val="hybridMultilevel"/>
    <w:tmpl w:val="602E6310"/>
    <w:lvl w:ilvl="0" w:tplc="9F9E13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91ECA"/>
    <w:multiLevelType w:val="hybridMultilevel"/>
    <w:tmpl w:val="07AA5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B75A7"/>
    <w:multiLevelType w:val="hybridMultilevel"/>
    <w:tmpl w:val="7F041FC2"/>
    <w:lvl w:ilvl="0" w:tplc="C8889A56">
      <w:start w:val="1"/>
      <w:numFmt w:val="low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4B0439"/>
    <w:multiLevelType w:val="hybridMultilevel"/>
    <w:tmpl w:val="D68AEDE4"/>
    <w:lvl w:ilvl="0" w:tplc="AE50C30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856"/>
    <w:rsid w:val="00070397"/>
    <w:rsid w:val="000A5D5B"/>
    <w:rsid w:val="000B5891"/>
    <w:rsid w:val="00164856"/>
    <w:rsid w:val="001E2CDD"/>
    <w:rsid w:val="001F6E88"/>
    <w:rsid w:val="003526D0"/>
    <w:rsid w:val="004271DC"/>
    <w:rsid w:val="004535D9"/>
    <w:rsid w:val="00724257"/>
    <w:rsid w:val="008270A6"/>
    <w:rsid w:val="00856722"/>
    <w:rsid w:val="0090145D"/>
    <w:rsid w:val="00965853"/>
    <w:rsid w:val="00BB6F36"/>
    <w:rsid w:val="00CF5986"/>
    <w:rsid w:val="00D84E60"/>
    <w:rsid w:val="00D94CAB"/>
    <w:rsid w:val="00FE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E294"/>
  <w15:chartTrackingRefBased/>
  <w15:docId w15:val="{BCB62A08-4CFC-4A0D-A585-CB971D5D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E6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F36"/>
    <w:pPr>
      <w:ind w:left="720"/>
      <w:contextualSpacing/>
    </w:pPr>
  </w:style>
  <w:style w:type="character" w:customStyle="1" w:styleId="apple-converted-space">
    <w:name w:val="apple-converted-space"/>
    <w:basedOn w:val="a0"/>
    <w:rsid w:val="008270A6"/>
  </w:style>
  <w:style w:type="character" w:styleId="a4">
    <w:name w:val="Hyperlink"/>
    <w:basedOn w:val="a0"/>
    <w:uiPriority w:val="99"/>
    <w:unhideWhenUsed/>
    <w:rsid w:val="00D84E6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D84E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6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6E88"/>
  </w:style>
  <w:style w:type="paragraph" w:styleId="a8">
    <w:name w:val="footer"/>
    <w:basedOn w:val="a"/>
    <w:link w:val="a9"/>
    <w:uiPriority w:val="99"/>
    <w:unhideWhenUsed/>
    <w:rsid w:val="001F6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6E88"/>
  </w:style>
  <w:style w:type="paragraph" w:styleId="aa">
    <w:name w:val="Balloon Text"/>
    <w:basedOn w:val="a"/>
    <w:link w:val="ab"/>
    <w:uiPriority w:val="99"/>
    <w:semiHidden/>
    <w:unhideWhenUsed/>
    <w:rsid w:val="00427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7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nieta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Олег</cp:lastModifiedBy>
  <cp:revision>2</cp:revision>
  <cp:lastPrinted>2017-06-05T05:22:00Z</cp:lastPrinted>
  <dcterms:created xsi:type="dcterms:W3CDTF">2017-06-05T05:30:00Z</dcterms:created>
  <dcterms:modified xsi:type="dcterms:W3CDTF">2017-06-05T05:30:00Z</dcterms:modified>
</cp:coreProperties>
</file>