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401"/>
        <w:gridCol w:w="5959"/>
      </w:tblGrid>
      <w:tr w:rsidR="00B06A68" w:rsidRPr="00B06A68" w:rsidTr="00BF799A">
        <w:trPr>
          <w:tblCellSpacing w:w="15" w:type="dxa"/>
        </w:trPr>
        <w:tc>
          <w:tcPr>
            <w:tcW w:w="1793"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Project Name:</w:t>
            </w:r>
          </w:p>
        </w:tc>
        <w:tc>
          <w:tcPr>
            <w:tcW w:w="3159"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Moldova Road Rehabilitation Project IV</w:t>
            </w:r>
          </w:p>
        </w:tc>
      </w:tr>
      <w:tr w:rsidR="00B06A68" w:rsidRPr="00B06A68" w:rsidTr="00BF799A">
        <w:trPr>
          <w:trHeight w:val="471"/>
          <w:tblCellSpacing w:w="15" w:type="dxa"/>
        </w:trPr>
        <w:tc>
          <w:tcPr>
            <w:tcW w:w="1793"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EBRD Project ID:</w:t>
            </w:r>
          </w:p>
        </w:tc>
        <w:tc>
          <w:tcPr>
            <w:tcW w:w="3159"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45094</w:t>
            </w:r>
          </w:p>
        </w:tc>
      </w:tr>
      <w:tr w:rsidR="00B06A68" w:rsidRPr="00B06A68" w:rsidTr="00BF799A">
        <w:trPr>
          <w:tblCellSpacing w:w="15" w:type="dxa"/>
        </w:trPr>
        <w:tc>
          <w:tcPr>
            <w:tcW w:w="1793"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Country:</w:t>
            </w:r>
          </w:p>
        </w:tc>
        <w:tc>
          <w:tcPr>
            <w:tcW w:w="3159"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Moldova</w:t>
            </w:r>
          </w:p>
        </w:tc>
      </w:tr>
      <w:tr w:rsidR="00B06A68" w:rsidRPr="00B06A68" w:rsidTr="00BF799A">
        <w:trPr>
          <w:tblCellSpacing w:w="15" w:type="dxa"/>
        </w:trPr>
        <w:tc>
          <w:tcPr>
            <w:tcW w:w="1793"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Tender Exercise Name:</w:t>
            </w:r>
          </w:p>
        </w:tc>
        <w:tc>
          <w:tcPr>
            <w:tcW w:w="3159"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Supervision of Rehabilitation Works on R34</w:t>
            </w:r>
          </w:p>
        </w:tc>
      </w:tr>
      <w:tr w:rsidR="00B06A68" w:rsidRPr="00B06A68" w:rsidTr="00BF799A">
        <w:trPr>
          <w:tblCellSpacing w:w="15" w:type="dxa"/>
        </w:trPr>
        <w:tc>
          <w:tcPr>
            <w:tcW w:w="1793"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ECEPP Tender Exercise ID:</w:t>
            </w:r>
          </w:p>
        </w:tc>
        <w:tc>
          <w:tcPr>
            <w:tcW w:w="3159"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8290456</w:t>
            </w:r>
          </w:p>
        </w:tc>
      </w:tr>
      <w:tr w:rsidR="00B06A68" w:rsidRPr="00B06A68" w:rsidTr="00BF799A">
        <w:trPr>
          <w:tblCellSpacing w:w="15" w:type="dxa"/>
        </w:trPr>
        <w:tc>
          <w:tcPr>
            <w:tcW w:w="1793"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Type of Procurement:</w:t>
            </w:r>
          </w:p>
        </w:tc>
        <w:tc>
          <w:tcPr>
            <w:tcW w:w="3159"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Consultancy</w:t>
            </w:r>
          </w:p>
        </w:tc>
      </w:tr>
      <w:tr w:rsidR="00B06A68" w:rsidRPr="00B06A68" w:rsidTr="00BF799A">
        <w:trPr>
          <w:tblCellSpacing w:w="15" w:type="dxa"/>
        </w:trPr>
        <w:tc>
          <w:tcPr>
            <w:tcW w:w="1793"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Procurement Method:</w:t>
            </w:r>
          </w:p>
        </w:tc>
        <w:tc>
          <w:tcPr>
            <w:tcW w:w="3159"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Consultancy Two Stage Open</w:t>
            </w:r>
          </w:p>
        </w:tc>
      </w:tr>
      <w:tr w:rsidR="00B06A68" w:rsidRPr="00B06A68" w:rsidTr="00BF799A">
        <w:trPr>
          <w:tblCellSpacing w:w="15" w:type="dxa"/>
        </w:trPr>
        <w:tc>
          <w:tcPr>
            <w:tcW w:w="1793"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Client Name:</w:t>
            </w:r>
          </w:p>
        </w:tc>
        <w:tc>
          <w:tcPr>
            <w:tcW w:w="3159"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Republic of Moldova</w:t>
            </w:r>
          </w:p>
        </w:tc>
      </w:tr>
      <w:tr w:rsidR="00B06A68" w:rsidRPr="00B06A68" w:rsidTr="00BF799A">
        <w:trPr>
          <w:tblCellSpacing w:w="15" w:type="dxa"/>
        </w:trPr>
        <w:tc>
          <w:tcPr>
            <w:tcW w:w="1793"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Business Sector:</w:t>
            </w:r>
          </w:p>
        </w:tc>
        <w:tc>
          <w:tcPr>
            <w:tcW w:w="3159"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Transport</w:t>
            </w:r>
          </w:p>
        </w:tc>
      </w:tr>
      <w:tr w:rsidR="00B06A68" w:rsidRPr="00B06A68" w:rsidTr="00BF799A">
        <w:trPr>
          <w:tblCellSpacing w:w="15" w:type="dxa"/>
        </w:trPr>
        <w:tc>
          <w:tcPr>
            <w:tcW w:w="1793"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Notice Type:</w:t>
            </w:r>
          </w:p>
        </w:tc>
        <w:tc>
          <w:tcPr>
            <w:tcW w:w="3159" w:type="pct"/>
            <w:tcBorders>
              <w:top w:val="nil"/>
              <w:left w:val="nil"/>
              <w:bottom w:val="nil"/>
              <w:right w:val="nil"/>
            </w:tcBorders>
            <w:shd w:val="clear" w:color="auto" w:fill="F9F9F9"/>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Invitation for Expressions of Interest</w:t>
            </w:r>
          </w:p>
        </w:tc>
      </w:tr>
      <w:tr w:rsidR="00B06A68" w:rsidRPr="00B06A68" w:rsidTr="00BF799A">
        <w:trPr>
          <w:tblCellSpacing w:w="15" w:type="dxa"/>
        </w:trPr>
        <w:tc>
          <w:tcPr>
            <w:tcW w:w="1793"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b/>
                <w:bCs/>
                <w:color w:val="222222"/>
                <w:sz w:val="24"/>
                <w:szCs w:val="24"/>
              </w:rPr>
              <w:t>Publication Date:</w:t>
            </w:r>
          </w:p>
        </w:tc>
        <w:tc>
          <w:tcPr>
            <w:tcW w:w="3159" w:type="pct"/>
            <w:tcBorders>
              <w:top w:val="nil"/>
              <w:left w:val="nil"/>
              <w:bottom w:val="nil"/>
              <w:right w:val="nil"/>
            </w:tcBorders>
            <w:shd w:val="clear" w:color="auto" w:fill="FFFFFF"/>
            <w:tcMar>
              <w:top w:w="135" w:type="dxa"/>
              <w:left w:w="150" w:type="dxa"/>
              <w:bottom w:w="135" w:type="dxa"/>
              <w:right w:w="150" w:type="dxa"/>
            </w:tcMar>
            <w:hideMark/>
          </w:tcPr>
          <w:p w:rsidR="00B06A68" w:rsidRPr="00B06A68" w:rsidRDefault="00B06A68" w:rsidP="00B06A68">
            <w:pPr>
              <w:spacing w:after="0" w:line="240" w:lineRule="auto"/>
              <w:rPr>
                <w:rFonts w:ascii="Times New Roman" w:eastAsia="Times New Roman" w:hAnsi="Times New Roman" w:cs="Times New Roman"/>
                <w:color w:val="222222"/>
                <w:sz w:val="24"/>
                <w:szCs w:val="24"/>
              </w:rPr>
            </w:pPr>
            <w:r w:rsidRPr="00B06A68">
              <w:rPr>
                <w:rFonts w:ascii="Times New Roman" w:eastAsia="Times New Roman" w:hAnsi="Times New Roman" w:cs="Times New Roman"/>
                <w:color w:val="222222"/>
                <w:sz w:val="24"/>
                <w:szCs w:val="24"/>
              </w:rPr>
              <w:t>08/10/2019 11:36</w:t>
            </w:r>
          </w:p>
        </w:tc>
      </w:tr>
    </w:tbl>
    <w:p w:rsidR="000E58C6" w:rsidRDefault="000E58C6"/>
    <w:p w:rsidR="00B06A68" w:rsidRPr="00B06A68" w:rsidRDefault="002953BD" w:rsidP="00201E6E">
      <w:pPr>
        <w:jc w:val="center"/>
        <w:rPr>
          <w:rFonts w:ascii="Times New Roman" w:hAnsi="Times New Roman" w:cs="Times New Roman"/>
          <w:b/>
          <w:bCs/>
          <w:sz w:val="24"/>
          <w:szCs w:val="24"/>
        </w:rPr>
      </w:pPr>
      <w:r>
        <w:rPr>
          <w:rFonts w:ascii="Times New Roman" w:hAnsi="Times New Roman" w:cs="Times New Roman"/>
          <w:b/>
          <w:bCs/>
          <w:sz w:val="24"/>
          <w:szCs w:val="24"/>
        </w:rPr>
        <w:t>Invitation for Expressions o</w:t>
      </w:r>
      <w:r w:rsidR="00B06A68" w:rsidRPr="00B06A68">
        <w:rPr>
          <w:rFonts w:ascii="Times New Roman" w:hAnsi="Times New Roman" w:cs="Times New Roman"/>
          <w:b/>
          <w:bCs/>
          <w:sz w:val="24"/>
          <w:szCs w:val="24"/>
        </w:rPr>
        <w:t>f Interest</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above named client intends to use part of the proceeds of a loan from/grant administered by the European Bank for Reconstruction and Development (the Bank). Contracts will be subject to the Bank's Procurement Policies and Rules.</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Funding Details:</w:t>
      </w:r>
      <w:r>
        <w:rPr>
          <w:rFonts w:ascii="Times New Roman" w:hAnsi="Times New Roman" w:cs="Times New Roman"/>
          <w:sz w:val="24"/>
          <w:szCs w:val="24"/>
        </w:rPr>
        <w:t xml:space="preserve"> </w:t>
      </w:r>
      <w:r w:rsidRPr="00B06A68">
        <w:rPr>
          <w:rFonts w:ascii="Times New Roman" w:hAnsi="Times New Roman" w:cs="Times New Roman"/>
          <w:sz w:val="24"/>
          <w:szCs w:val="24"/>
        </w:rPr>
        <w:t>a loan from the European Bank for Reconstruction and Development (the Bank)</w:t>
      </w:r>
      <w:r>
        <w:rPr>
          <w:rFonts w:ascii="Times New Roman" w:hAnsi="Times New Roman" w:cs="Times New Roman"/>
          <w:sz w:val="24"/>
          <w:szCs w:val="24"/>
        </w:rPr>
        <w:t>.</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Contract will be funded by an EBRD loan of 150 000 000, 00 Euro.</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proceeds of the loan from/ grant administered by the Bank will be open to firms from any country unless otherwise specified and will not be used for the purpose of any payment to persons or entities, of for any import of goods, if such payment or import is prohibited by a decision of the United Nations Security Council taken under Chapter VII of the Charter of the United Nations or under a law of official regulation of the Client's country.</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Client now intends to establish a shortlist of qualified and competent consultants, with a view to inviting proposals from the shortlisted consultants, in relation to the assignment, on the basis of the procurement documentation provided in ECEPP for this assignment. The selection method (procurement method) is shown above and interested firms or groups of firms are hereby invited to submit expressions of interest.</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lastRenderedPageBreak/>
        <w:t>The expected outcome of the assignment is as follows:</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objective of the Construction Supervision services is to supervise the execution of the works and administer the contract through efficient and effective expertise, resulting in the issue of a Taking-over certificate and a Performance Certificate for the following Works Contracts within the budget and time defined in the project procurement plan. </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selected consultant is expected to provide the following services:</w:t>
      </w:r>
    </w:p>
    <w:p w:rsidR="007635E0"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Employer intends to retain suitably qualified firm assisting the Employer to facilitate the timely and effective implementation of the project by advising the Employer on the administration of the EBRD funded Contracts with due diligence and by carrying out the duties of the Engineer assigned to him in the Contracts, which will be a re-measurement unit rate contract based on FIDIC Conditions of Contract for Construction, MDB Harmonized edition, 2010. The Consultant shall exercise the authority attributable to the Engineer, as specified in or necessarily implied from the Contracts, to ensure timely, satisfactory completion of the Works in accordance with the Contracts.</w:t>
      </w:r>
    </w:p>
    <w:p w:rsidR="007635E0"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It is expected that there will be two civil works contracts divided as follows:</w:t>
      </w:r>
    </w:p>
    <w:p w:rsidR="007635E0"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 xml:space="preserve"> Lot 1: Rehabilitation of R34 </w:t>
      </w:r>
      <w:proofErr w:type="spellStart"/>
      <w:r w:rsidRPr="00B06A68">
        <w:rPr>
          <w:rFonts w:ascii="Times New Roman" w:hAnsi="Times New Roman" w:cs="Times New Roman"/>
          <w:sz w:val="24"/>
          <w:szCs w:val="24"/>
        </w:rPr>
        <w:t>Hîncești</w:t>
      </w:r>
      <w:proofErr w:type="spellEnd"/>
      <w:r w:rsidRPr="00B06A68">
        <w:rPr>
          <w:rFonts w:ascii="Times New Roman" w:hAnsi="Times New Roman" w:cs="Times New Roman"/>
          <w:sz w:val="24"/>
          <w:szCs w:val="24"/>
        </w:rPr>
        <w:t xml:space="preserve"> – </w:t>
      </w:r>
      <w:proofErr w:type="spellStart"/>
      <w:r w:rsidRPr="00B06A68">
        <w:rPr>
          <w:rFonts w:ascii="Times New Roman" w:hAnsi="Times New Roman" w:cs="Times New Roman"/>
          <w:sz w:val="24"/>
          <w:szCs w:val="24"/>
        </w:rPr>
        <w:t>Leova</w:t>
      </w:r>
      <w:proofErr w:type="spellEnd"/>
      <w:r w:rsidRPr="00B06A68">
        <w:rPr>
          <w:rFonts w:ascii="Times New Roman" w:hAnsi="Times New Roman" w:cs="Times New Roman"/>
          <w:sz w:val="24"/>
          <w:szCs w:val="24"/>
        </w:rPr>
        <w:t xml:space="preserve"> – </w:t>
      </w:r>
      <w:proofErr w:type="spellStart"/>
      <w:r w:rsidRPr="00B06A68">
        <w:rPr>
          <w:rFonts w:ascii="Times New Roman" w:hAnsi="Times New Roman" w:cs="Times New Roman"/>
          <w:sz w:val="24"/>
          <w:szCs w:val="24"/>
        </w:rPr>
        <w:t>Cahul</w:t>
      </w:r>
      <w:proofErr w:type="spellEnd"/>
      <w:r w:rsidRPr="00B06A68">
        <w:rPr>
          <w:rFonts w:ascii="Times New Roman" w:hAnsi="Times New Roman" w:cs="Times New Roman"/>
          <w:sz w:val="24"/>
          <w:szCs w:val="24"/>
        </w:rPr>
        <w:t xml:space="preserve"> – </w:t>
      </w:r>
      <w:proofErr w:type="spellStart"/>
      <w:r w:rsidRPr="00B06A68">
        <w:rPr>
          <w:rFonts w:ascii="Times New Roman" w:hAnsi="Times New Roman" w:cs="Times New Roman"/>
          <w:sz w:val="24"/>
          <w:szCs w:val="24"/>
        </w:rPr>
        <w:t>Giurgiulești</w:t>
      </w:r>
      <w:proofErr w:type="spellEnd"/>
      <w:r w:rsidRPr="00B06A68">
        <w:rPr>
          <w:rFonts w:ascii="Times New Roman" w:hAnsi="Times New Roman" w:cs="Times New Roman"/>
          <w:sz w:val="24"/>
          <w:szCs w:val="24"/>
        </w:rPr>
        <w:t xml:space="preserve"> Road km 0+000 – km 42+200, the section from </w:t>
      </w:r>
      <w:proofErr w:type="spellStart"/>
      <w:r w:rsidRPr="00B06A68">
        <w:rPr>
          <w:rFonts w:ascii="Times New Roman" w:hAnsi="Times New Roman" w:cs="Times New Roman"/>
          <w:sz w:val="24"/>
          <w:szCs w:val="24"/>
        </w:rPr>
        <w:t>Hincesti</w:t>
      </w:r>
      <w:proofErr w:type="spellEnd"/>
      <w:r w:rsidRPr="00B06A68">
        <w:rPr>
          <w:rFonts w:ascii="Times New Roman" w:hAnsi="Times New Roman" w:cs="Times New Roman"/>
          <w:sz w:val="24"/>
          <w:szCs w:val="24"/>
        </w:rPr>
        <w:t xml:space="preserve"> to the </w:t>
      </w:r>
      <w:proofErr w:type="spellStart"/>
      <w:r w:rsidRPr="00B06A68">
        <w:rPr>
          <w:rFonts w:ascii="Times New Roman" w:hAnsi="Times New Roman" w:cs="Times New Roman"/>
          <w:sz w:val="24"/>
          <w:szCs w:val="24"/>
        </w:rPr>
        <w:t>Cazangic</w:t>
      </w:r>
      <w:proofErr w:type="spellEnd"/>
      <w:r w:rsidRPr="00B06A68">
        <w:rPr>
          <w:rFonts w:ascii="Times New Roman" w:hAnsi="Times New Roman" w:cs="Times New Roman"/>
          <w:sz w:val="24"/>
          <w:szCs w:val="24"/>
        </w:rPr>
        <w:t xml:space="preserve"> village, with a length of about 42.2 km.</w:t>
      </w:r>
      <w:r w:rsidR="007635E0">
        <w:rPr>
          <w:rFonts w:ascii="Times New Roman" w:hAnsi="Times New Roman" w:cs="Times New Roman"/>
          <w:sz w:val="24"/>
          <w:szCs w:val="24"/>
        </w:rPr>
        <w:t xml:space="preserve"> </w:t>
      </w:r>
    </w:p>
    <w:p w:rsidR="007635E0"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 xml:space="preserve">Lot 2: Rehabilitation of R34 </w:t>
      </w:r>
      <w:proofErr w:type="spellStart"/>
      <w:r w:rsidRPr="00B06A68">
        <w:rPr>
          <w:rFonts w:ascii="Times New Roman" w:hAnsi="Times New Roman" w:cs="Times New Roman"/>
          <w:sz w:val="24"/>
          <w:szCs w:val="24"/>
        </w:rPr>
        <w:t>Hîncești</w:t>
      </w:r>
      <w:proofErr w:type="spellEnd"/>
      <w:r w:rsidRPr="00B06A68">
        <w:rPr>
          <w:rFonts w:ascii="Times New Roman" w:hAnsi="Times New Roman" w:cs="Times New Roman"/>
          <w:sz w:val="24"/>
          <w:szCs w:val="24"/>
        </w:rPr>
        <w:t xml:space="preserve"> – </w:t>
      </w:r>
      <w:proofErr w:type="spellStart"/>
      <w:r w:rsidRPr="00B06A68">
        <w:rPr>
          <w:rFonts w:ascii="Times New Roman" w:hAnsi="Times New Roman" w:cs="Times New Roman"/>
          <w:sz w:val="24"/>
          <w:szCs w:val="24"/>
        </w:rPr>
        <w:t>Leova</w:t>
      </w:r>
      <w:proofErr w:type="spellEnd"/>
      <w:r w:rsidRPr="00B06A68">
        <w:rPr>
          <w:rFonts w:ascii="Times New Roman" w:hAnsi="Times New Roman" w:cs="Times New Roman"/>
          <w:sz w:val="24"/>
          <w:szCs w:val="24"/>
        </w:rPr>
        <w:t xml:space="preserve"> – </w:t>
      </w:r>
      <w:proofErr w:type="spellStart"/>
      <w:r w:rsidRPr="00B06A68">
        <w:rPr>
          <w:rFonts w:ascii="Times New Roman" w:hAnsi="Times New Roman" w:cs="Times New Roman"/>
          <w:sz w:val="24"/>
          <w:szCs w:val="24"/>
        </w:rPr>
        <w:t>Cahul</w:t>
      </w:r>
      <w:proofErr w:type="spellEnd"/>
      <w:r w:rsidRPr="00B06A68">
        <w:rPr>
          <w:rFonts w:ascii="Times New Roman" w:hAnsi="Times New Roman" w:cs="Times New Roman"/>
          <w:sz w:val="24"/>
          <w:szCs w:val="24"/>
        </w:rPr>
        <w:t xml:space="preserve"> – </w:t>
      </w:r>
      <w:proofErr w:type="spellStart"/>
      <w:r w:rsidRPr="00B06A68">
        <w:rPr>
          <w:rFonts w:ascii="Times New Roman" w:hAnsi="Times New Roman" w:cs="Times New Roman"/>
          <w:sz w:val="24"/>
          <w:szCs w:val="24"/>
        </w:rPr>
        <w:t>Giurgiulești</w:t>
      </w:r>
      <w:proofErr w:type="spellEnd"/>
      <w:r w:rsidRPr="00B06A68">
        <w:rPr>
          <w:rFonts w:ascii="Times New Roman" w:hAnsi="Times New Roman" w:cs="Times New Roman"/>
          <w:sz w:val="24"/>
          <w:szCs w:val="24"/>
        </w:rPr>
        <w:t xml:space="preserve"> Road km 42+200 – km 83+000, the section from </w:t>
      </w:r>
      <w:proofErr w:type="spellStart"/>
      <w:r w:rsidRPr="00B06A68">
        <w:rPr>
          <w:rFonts w:ascii="Times New Roman" w:hAnsi="Times New Roman" w:cs="Times New Roman"/>
          <w:sz w:val="24"/>
          <w:szCs w:val="24"/>
        </w:rPr>
        <w:t>Cazangic</w:t>
      </w:r>
      <w:proofErr w:type="spellEnd"/>
      <w:r w:rsidRPr="00B06A68">
        <w:rPr>
          <w:rFonts w:ascii="Times New Roman" w:hAnsi="Times New Roman" w:cs="Times New Roman"/>
          <w:sz w:val="24"/>
          <w:szCs w:val="24"/>
        </w:rPr>
        <w:t xml:space="preserve"> village to </w:t>
      </w:r>
      <w:proofErr w:type="spellStart"/>
      <w:r w:rsidRPr="00B06A68">
        <w:rPr>
          <w:rFonts w:ascii="Times New Roman" w:hAnsi="Times New Roman" w:cs="Times New Roman"/>
          <w:sz w:val="24"/>
          <w:szCs w:val="24"/>
        </w:rPr>
        <w:t>Cantemir</w:t>
      </w:r>
      <w:proofErr w:type="spellEnd"/>
      <w:r w:rsidRPr="00B06A68">
        <w:rPr>
          <w:rFonts w:ascii="Times New Roman" w:hAnsi="Times New Roman" w:cs="Times New Roman"/>
          <w:sz w:val="24"/>
          <w:szCs w:val="24"/>
        </w:rPr>
        <w:t xml:space="preserve"> town, with a length of about 40.7 km. </w:t>
      </w:r>
    </w:p>
    <w:p w:rsidR="007635E0"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overall time for completion of the rehabilitation works is 730 days. The Defect Notification Period is 365 days.</w:t>
      </w:r>
    </w:p>
    <w:p w:rsidR="007249EC"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assignment is expected to start in May 2020 and last about 46 months, which includes 1 month for pre-Commencement activities, 30 months of works supervision, 12 months covering defects notification period and 3 months for the Performance Certificate issue and other closing activities.</w:t>
      </w:r>
    </w:p>
    <w:p w:rsidR="00B06A68" w:rsidRDefault="00B06A68" w:rsidP="00B06A68">
      <w:pPr>
        <w:jc w:val="both"/>
        <w:rPr>
          <w:rFonts w:ascii="Times New Roman" w:hAnsi="Times New Roman" w:cs="Times New Roman"/>
          <w:sz w:val="24"/>
          <w:szCs w:val="24"/>
        </w:rPr>
      </w:pPr>
      <w:bookmarkStart w:id="0" w:name="_GoBack"/>
      <w:bookmarkEnd w:id="0"/>
      <w:r w:rsidRPr="00B06A68">
        <w:rPr>
          <w:rFonts w:ascii="Times New Roman" w:hAnsi="Times New Roman" w:cs="Times New Roman"/>
          <w:sz w:val="24"/>
          <w:szCs w:val="24"/>
        </w:rPr>
        <w:t>The estimated input of the key experts will be:</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The estimated input of the key experts is expected to be 233 Person-months and 257 person-months of non-key experts.</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Response Requirements:</w:t>
      </w:r>
    </w:p>
    <w:p w:rsidR="00B06A68" w:rsidRDefault="00B06A68" w:rsidP="00B06A68">
      <w:pPr>
        <w:jc w:val="both"/>
        <w:rPr>
          <w:rFonts w:ascii="Times New Roman" w:hAnsi="Times New Roman" w:cs="Times New Roman"/>
          <w:sz w:val="24"/>
          <w:szCs w:val="24"/>
        </w:rPr>
      </w:pPr>
      <w:r w:rsidRPr="00B06A68">
        <w:rPr>
          <w:rFonts w:ascii="Times New Roman" w:hAnsi="Times New Roman" w:cs="Times New Roman"/>
          <w:sz w:val="24"/>
          <w:szCs w:val="24"/>
        </w:rPr>
        <w:t>In order to determine the capability and experience of consultants seeking to be selected, the consultant shall submit a response in accordance with the requirements of the procurement documentation available from the link in this notice. Following this invitation for expressions of interest, a shortlist of qualified firms will be formally established on the basis of the shortlisting criteria set out in the procurement documentation. Shortlisted consultants will be invited to submit proposals.</w:t>
      </w:r>
      <w:r w:rsidRPr="00B06A68">
        <w:rPr>
          <w:rFonts w:ascii="Times New Roman" w:hAnsi="Times New Roman" w:cs="Times New Roman"/>
          <w:sz w:val="24"/>
          <w:szCs w:val="24"/>
        </w:rPr>
        <w:br/>
      </w:r>
      <w:r w:rsidRPr="00B06A68">
        <w:rPr>
          <w:rFonts w:ascii="Times New Roman" w:hAnsi="Times New Roman" w:cs="Times New Roman"/>
          <w:sz w:val="24"/>
          <w:szCs w:val="24"/>
        </w:rPr>
        <w:br/>
        <w:t xml:space="preserve">This consultant selection will be conducted by e-procurement using the EBRD Client E-Procurement Portal (ECEPP). Prospective participants who have registered in ECEPP and expressed an interest in the contract may access the documents and may request clarification and </w:t>
      </w:r>
      <w:r w:rsidRPr="00B06A68">
        <w:rPr>
          <w:rFonts w:ascii="Times New Roman" w:hAnsi="Times New Roman" w:cs="Times New Roman"/>
          <w:sz w:val="24"/>
          <w:szCs w:val="24"/>
        </w:rPr>
        <w:lastRenderedPageBreak/>
        <w:t>further information from the client through ECEPP. Non-registered firms should register on ECEPP at this link:</w:t>
      </w:r>
    </w:p>
    <w:p w:rsidR="00B06A68" w:rsidRDefault="00F95352" w:rsidP="00B06A68">
      <w:pPr>
        <w:jc w:val="both"/>
        <w:rPr>
          <w:rFonts w:ascii="Times New Roman" w:hAnsi="Times New Roman" w:cs="Times New Roman"/>
          <w:sz w:val="24"/>
          <w:szCs w:val="24"/>
        </w:rPr>
      </w:pPr>
      <w:hyperlink r:id="rId4" w:tgtFrame="_blank" w:history="1">
        <w:r w:rsidR="00B06A68" w:rsidRPr="00B06A68">
          <w:rPr>
            <w:rStyle w:val="Hyperlink"/>
            <w:rFonts w:ascii="Times New Roman" w:hAnsi="Times New Roman" w:cs="Times New Roman"/>
            <w:sz w:val="24"/>
            <w:szCs w:val="24"/>
          </w:rPr>
          <w:t>https://ecepp.ebrd.com/respond/USD66432R5</w:t>
        </w:r>
      </w:hyperlink>
      <w:r w:rsidR="00B06A68" w:rsidRPr="00B06A68">
        <w:rPr>
          <w:rFonts w:ascii="Times New Roman" w:hAnsi="Times New Roman" w:cs="Times New Roman"/>
          <w:sz w:val="24"/>
          <w:szCs w:val="24"/>
        </w:rPr>
        <w:t> </w:t>
      </w:r>
      <w:r w:rsidR="00B06A68" w:rsidRPr="00B06A68">
        <w:rPr>
          <w:rFonts w:ascii="Times New Roman" w:hAnsi="Times New Roman" w:cs="Times New Roman"/>
          <w:sz w:val="24"/>
          <w:szCs w:val="24"/>
        </w:rPr>
        <w:br/>
      </w:r>
      <w:r w:rsidR="00B06A68" w:rsidRPr="00B06A68">
        <w:rPr>
          <w:rFonts w:ascii="Times New Roman" w:hAnsi="Times New Roman" w:cs="Times New Roman"/>
          <w:sz w:val="24"/>
          <w:szCs w:val="24"/>
        </w:rPr>
        <w:br/>
        <w:t>and express an interest in this assignment. The CPD for this assignment is available for firms registered in ECEPP free of charge at the above link. Full conditions for participation are included in the documents. Prospective consultants may request clarification and further information from the client through ECEPP. Following this invitation for expressions of interest, a shortlist of qualified firms will be formally established on the basis of the shortlisting criteria set out in the CPD. Shortlisted consultants will be invited to submit proposals.</w:t>
      </w:r>
    </w:p>
    <w:p w:rsidR="00B06A68" w:rsidRDefault="00B06A68" w:rsidP="00B06A68">
      <w:pPr>
        <w:spacing w:after="0" w:line="240" w:lineRule="auto"/>
        <w:contextualSpacing/>
        <w:jc w:val="both"/>
        <w:rPr>
          <w:rFonts w:ascii="Times New Roman" w:hAnsi="Times New Roman" w:cs="Times New Roman"/>
          <w:sz w:val="24"/>
          <w:szCs w:val="24"/>
        </w:rPr>
      </w:pPr>
      <w:r w:rsidRPr="00B06A68">
        <w:rPr>
          <w:rFonts w:ascii="Times New Roman" w:hAnsi="Times New Roman" w:cs="Times New Roman"/>
          <w:sz w:val="24"/>
          <w:szCs w:val="24"/>
        </w:rPr>
        <w:br/>
        <w:t>Client Address:</w:t>
      </w:r>
    </w:p>
    <w:p w:rsidR="00B06A68" w:rsidRDefault="00B06A68" w:rsidP="00B06A68">
      <w:pPr>
        <w:spacing w:after="0" w:line="240" w:lineRule="auto"/>
        <w:contextualSpacing/>
        <w:jc w:val="both"/>
        <w:rPr>
          <w:rFonts w:ascii="Times New Roman" w:hAnsi="Times New Roman" w:cs="Times New Roman"/>
          <w:sz w:val="24"/>
          <w:szCs w:val="24"/>
        </w:rPr>
      </w:pPr>
      <w:r w:rsidRPr="00B06A68">
        <w:rPr>
          <w:rFonts w:ascii="Times New Roman" w:hAnsi="Times New Roman" w:cs="Times New Roman"/>
          <w:sz w:val="24"/>
          <w:szCs w:val="24"/>
        </w:rPr>
        <w:t xml:space="preserve">Natalia </w:t>
      </w:r>
      <w:proofErr w:type="spellStart"/>
      <w:r w:rsidRPr="00B06A68">
        <w:rPr>
          <w:rFonts w:ascii="Times New Roman" w:hAnsi="Times New Roman" w:cs="Times New Roman"/>
          <w:sz w:val="24"/>
          <w:szCs w:val="24"/>
        </w:rPr>
        <w:t>Capatina</w:t>
      </w:r>
      <w:proofErr w:type="spellEnd"/>
    </w:p>
    <w:p w:rsidR="00B06A68" w:rsidRDefault="00B06A68" w:rsidP="00B06A68">
      <w:pPr>
        <w:spacing w:after="0" w:line="240" w:lineRule="auto"/>
        <w:contextualSpacing/>
        <w:jc w:val="both"/>
        <w:rPr>
          <w:rFonts w:ascii="Times New Roman" w:hAnsi="Times New Roman" w:cs="Times New Roman"/>
          <w:sz w:val="24"/>
          <w:szCs w:val="24"/>
        </w:rPr>
      </w:pPr>
      <w:r w:rsidRPr="00B06A68">
        <w:rPr>
          <w:rFonts w:ascii="Times New Roman" w:hAnsi="Times New Roman" w:cs="Times New Roman"/>
          <w:sz w:val="24"/>
          <w:szCs w:val="24"/>
        </w:rPr>
        <w:t>State Roads Administration</w:t>
      </w:r>
    </w:p>
    <w:p w:rsidR="00B06A68" w:rsidRDefault="00B06A68" w:rsidP="00B06A68">
      <w:pPr>
        <w:spacing w:after="0" w:line="240" w:lineRule="auto"/>
        <w:contextualSpacing/>
        <w:jc w:val="both"/>
        <w:rPr>
          <w:rFonts w:ascii="Times New Roman" w:hAnsi="Times New Roman" w:cs="Times New Roman"/>
          <w:sz w:val="24"/>
          <w:szCs w:val="24"/>
        </w:rPr>
      </w:pPr>
      <w:r w:rsidRPr="00B06A68">
        <w:rPr>
          <w:rFonts w:ascii="Times New Roman" w:hAnsi="Times New Roman" w:cs="Times New Roman"/>
          <w:sz w:val="24"/>
          <w:szCs w:val="24"/>
        </w:rPr>
        <w:t>State Roads Administration</w:t>
      </w:r>
    </w:p>
    <w:p w:rsidR="00B06A68" w:rsidRDefault="00B06A68" w:rsidP="00B06A68">
      <w:pPr>
        <w:spacing w:after="0" w:line="240" w:lineRule="auto"/>
        <w:contextualSpacing/>
        <w:jc w:val="both"/>
        <w:rPr>
          <w:rFonts w:ascii="Times New Roman" w:hAnsi="Times New Roman" w:cs="Times New Roman"/>
          <w:sz w:val="24"/>
          <w:szCs w:val="24"/>
        </w:rPr>
      </w:pPr>
      <w:r w:rsidRPr="00B06A68">
        <w:rPr>
          <w:rFonts w:ascii="Times New Roman" w:hAnsi="Times New Roman" w:cs="Times New Roman"/>
          <w:sz w:val="24"/>
          <w:szCs w:val="24"/>
        </w:rPr>
        <w:t xml:space="preserve">12a </w:t>
      </w:r>
      <w:proofErr w:type="spellStart"/>
      <w:r w:rsidRPr="00B06A68">
        <w:rPr>
          <w:rFonts w:ascii="Times New Roman" w:hAnsi="Times New Roman" w:cs="Times New Roman"/>
          <w:sz w:val="24"/>
          <w:szCs w:val="24"/>
        </w:rPr>
        <w:t>Bucuriei</w:t>
      </w:r>
      <w:proofErr w:type="spellEnd"/>
      <w:r w:rsidRPr="00B06A68">
        <w:rPr>
          <w:rFonts w:ascii="Times New Roman" w:hAnsi="Times New Roman" w:cs="Times New Roman"/>
          <w:sz w:val="24"/>
          <w:szCs w:val="24"/>
        </w:rPr>
        <w:t xml:space="preserve"> </w:t>
      </w:r>
      <w:proofErr w:type="spellStart"/>
      <w:proofErr w:type="gramStart"/>
      <w:r w:rsidRPr="00B06A68">
        <w:rPr>
          <w:rFonts w:ascii="Times New Roman" w:hAnsi="Times New Roman" w:cs="Times New Roman"/>
          <w:sz w:val="24"/>
          <w:szCs w:val="24"/>
        </w:rPr>
        <w:t>str</w:t>
      </w:r>
      <w:proofErr w:type="spellEnd"/>
      <w:proofErr w:type="gramEnd"/>
      <w:r w:rsidRPr="00B06A68">
        <w:rPr>
          <w:rFonts w:ascii="Times New Roman" w:hAnsi="Times New Roman" w:cs="Times New Roman"/>
          <w:sz w:val="24"/>
          <w:szCs w:val="24"/>
        </w:rPr>
        <w:t>, Chisinau, MD 2004, Moldova</w:t>
      </w:r>
    </w:p>
    <w:p w:rsidR="00EF6106" w:rsidRDefault="00EF6106" w:rsidP="00B06A6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Tel. (+373 22) 74 07 50 </w:t>
      </w:r>
    </w:p>
    <w:p w:rsidR="00B06A68" w:rsidRPr="00B06A68" w:rsidRDefault="00B06A68" w:rsidP="00B06A68">
      <w:pPr>
        <w:spacing w:after="0" w:line="240" w:lineRule="auto"/>
        <w:contextualSpacing/>
        <w:jc w:val="both"/>
        <w:rPr>
          <w:rFonts w:ascii="Times New Roman" w:hAnsi="Times New Roman" w:cs="Times New Roman"/>
          <w:sz w:val="24"/>
          <w:szCs w:val="24"/>
        </w:rPr>
      </w:pPr>
      <w:r w:rsidRPr="00B06A68">
        <w:rPr>
          <w:rFonts w:ascii="Times New Roman" w:hAnsi="Times New Roman" w:cs="Times New Roman"/>
          <w:sz w:val="24"/>
          <w:szCs w:val="24"/>
        </w:rPr>
        <w:t xml:space="preserve"> Email: procurement@asd.md</w:t>
      </w:r>
    </w:p>
    <w:p w:rsidR="00B06A68" w:rsidRPr="00B06A68" w:rsidRDefault="00B06A68">
      <w:pPr>
        <w:rPr>
          <w:rFonts w:ascii="Times New Roman" w:hAnsi="Times New Roman" w:cs="Times New Roman"/>
          <w:sz w:val="24"/>
          <w:szCs w:val="24"/>
        </w:rPr>
      </w:pPr>
    </w:p>
    <w:sectPr w:rsidR="00B06A68" w:rsidRPr="00B0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68"/>
    <w:rsid w:val="000E58C6"/>
    <w:rsid w:val="00201E6E"/>
    <w:rsid w:val="002953BD"/>
    <w:rsid w:val="00661A5B"/>
    <w:rsid w:val="007249EC"/>
    <w:rsid w:val="007635E0"/>
    <w:rsid w:val="00B06A68"/>
    <w:rsid w:val="00BF799A"/>
    <w:rsid w:val="00EF6106"/>
    <w:rsid w:val="00F9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1D5A4-3DC7-4840-B54E-9A520EDB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12964">
      <w:bodyDiv w:val="1"/>
      <w:marLeft w:val="0"/>
      <w:marRight w:val="0"/>
      <w:marTop w:val="0"/>
      <w:marBottom w:val="0"/>
      <w:divBdr>
        <w:top w:val="none" w:sz="0" w:space="0" w:color="auto"/>
        <w:left w:val="none" w:sz="0" w:space="0" w:color="auto"/>
        <w:bottom w:val="none" w:sz="0" w:space="0" w:color="auto"/>
        <w:right w:val="none" w:sz="0" w:space="0" w:color="auto"/>
      </w:divBdr>
    </w:div>
    <w:div w:id="1100562047">
      <w:bodyDiv w:val="1"/>
      <w:marLeft w:val="0"/>
      <w:marRight w:val="0"/>
      <w:marTop w:val="0"/>
      <w:marBottom w:val="0"/>
      <w:divBdr>
        <w:top w:val="none" w:sz="0" w:space="0" w:color="auto"/>
        <w:left w:val="none" w:sz="0" w:space="0" w:color="auto"/>
        <w:bottom w:val="none" w:sz="0" w:space="0" w:color="auto"/>
        <w:right w:val="none" w:sz="0" w:space="0" w:color="auto"/>
      </w:divBdr>
    </w:div>
    <w:div w:id="1691032410">
      <w:bodyDiv w:val="1"/>
      <w:marLeft w:val="0"/>
      <w:marRight w:val="0"/>
      <w:marTop w:val="0"/>
      <w:marBottom w:val="0"/>
      <w:divBdr>
        <w:top w:val="none" w:sz="0" w:space="0" w:color="auto"/>
        <w:left w:val="none" w:sz="0" w:space="0" w:color="auto"/>
        <w:bottom w:val="none" w:sz="0" w:space="0" w:color="auto"/>
        <w:right w:val="none" w:sz="0" w:space="0" w:color="auto"/>
      </w:divBdr>
    </w:div>
    <w:div w:id="17114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pp.ebrd.com/respond/USD66432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9</cp:revision>
  <dcterms:created xsi:type="dcterms:W3CDTF">2019-10-08T11:47:00Z</dcterms:created>
  <dcterms:modified xsi:type="dcterms:W3CDTF">2019-10-21T07:59:00Z</dcterms:modified>
</cp:coreProperties>
</file>