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1FC7EBBC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2F346F">
        <w:rPr>
          <w:rFonts w:ascii="Helvetica" w:hAnsi="Helvetica" w:cs="Helvetica"/>
          <w:color w:val="333333"/>
          <w:shd w:val="clear" w:color="auto" w:fill="FFFFFF"/>
        </w:rPr>
        <w:t>ocds-b3wdp1-MD-1650537939836</w:t>
      </w:r>
    </w:p>
    <w:tbl>
      <w:tblPr>
        <w:tblW w:w="11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"/>
        <w:gridCol w:w="2330"/>
        <w:gridCol w:w="8067"/>
      </w:tblGrid>
      <w:tr w:rsidR="00B714BA" w14:paraId="5F5C740A" w14:textId="77777777" w:rsidTr="00B714BA">
        <w:trPr>
          <w:trHeight w:val="66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EB1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noProof w:val="0"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CD4C" w14:textId="77777777" w:rsidR="00B714BA" w:rsidRDefault="00B714BA">
            <w:pPr>
              <w:rPr>
                <w:highlight w:val="yellow"/>
                <w:lang w:val="ro-MD"/>
              </w:rPr>
            </w:pPr>
            <w:r>
              <w:rPr>
                <w:lang w:val="ro-MD"/>
              </w:rPr>
              <w:t>Denumirea lucrării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C402" w14:textId="77777777" w:rsidR="00B714BA" w:rsidRDefault="00B714BA">
            <w:r>
              <w:rPr>
                <w:lang w:val="ro-MD"/>
              </w:rPr>
              <w:t xml:space="preserve">Servicii de proiectare privind actualizarea proiectului de execuție pentru reparația drumului </w:t>
            </w:r>
            <w:r>
              <w:rPr>
                <w:b/>
                <w:bCs/>
                <w:lang w:val="ro-MD"/>
              </w:rPr>
              <w:t xml:space="preserve">G125, </w:t>
            </w:r>
            <w:r>
              <w:rPr>
                <w:b/>
                <w:bCs/>
              </w:rPr>
              <w:t>Cimișlia-Iargara-Sărata Nouă, sector km 2,40 – 7,70</w:t>
            </w:r>
            <w:r>
              <w:t xml:space="preserve"> </w:t>
            </w:r>
          </w:p>
        </w:tc>
      </w:tr>
      <w:tr w:rsidR="00B714BA" w14:paraId="26BAAF7B" w14:textId="77777777" w:rsidTr="00B714BA">
        <w:trPr>
          <w:trHeight w:val="61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273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386B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Temeiul proiectării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376A" w14:textId="77777777" w:rsidR="00B714BA" w:rsidRDefault="00B714BA">
            <w:pPr>
              <w:rPr>
                <w:lang w:val="ro-MD"/>
              </w:rPr>
            </w:pPr>
            <w:r>
              <w:rPr>
                <w:color w:val="000000"/>
                <w:lang w:val="ro-MD"/>
              </w:rPr>
              <w:t>Programul lucrărilor de proiectare pentru anul 2022.</w:t>
            </w:r>
          </w:p>
        </w:tc>
      </w:tr>
      <w:tr w:rsidR="00B714BA" w14:paraId="1630779E" w14:textId="77777777" w:rsidTr="00B714BA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D095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C83B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Faza de proiectare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730C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Actualizarea proiectului de execuție</w:t>
            </w:r>
          </w:p>
        </w:tc>
      </w:tr>
      <w:tr w:rsidR="00B714BA" w14:paraId="5B01EAA0" w14:textId="77777777" w:rsidTr="00B714BA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D39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FB8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Proiectant general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C1C8" w14:textId="77777777" w:rsidR="00B714BA" w:rsidRDefault="00B714BA">
            <w:pPr>
              <w:rPr>
                <w:bCs/>
                <w:color w:val="000000"/>
                <w:lang w:val="ro-MD"/>
              </w:rPr>
            </w:pPr>
            <w:r>
              <w:rPr>
                <w:bCs/>
                <w:color w:val="000000"/>
                <w:lang w:val="ro-MD"/>
              </w:rPr>
              <w:t>Conform procedurii de achiziție publică.</w:t>
            </w:r>
          </w:p>
        </w:tc>
      </w:tr>
      <w:tr w:rsidR="00B714BA" w14:paraId="1CCE3F66" w14:textId="77777777" w:rsidTr="00B714BA">
        <w:trPr>
          <w:trHeight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536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77B2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Începutul sectorului de proiectare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C3E7" w14:textId="77777777" w:rsidR="00B714BA" w:rsidRDefault="00B714BA">
            <w:r>
              <w:t>Km 2,4 (se va preciza prin proiect</w:t>
            </w:r>
            <w:r>
              <w:rPr>
                <w:lang w:val="en-US"/>
              </w:rPr>
              <w:t>)</w:t>
            </w:r>
          </w:p>
        </w:tc>
      </w:tr>
      <w:tr w:rsidR="00B714BA" w14:paraId="40E63270" w14:textId="77777777" w:rsidTr="00B714BA">
        <w:trPr>
          <w:trHeight w:val="63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4A9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D19D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Sfârșitul sectorului de actualizare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1BD2" w14:textId="77777777" w:rsidR="00B714BA" w:rsidRDefault="00B714BA">
            <w:r>
              <w:t>Km 7,7 (se va preciza prin proiect)</w:t>
            </w:r>
          </w:p>
        </w:tc>
      </w:tr>
      <w:tr w:rsidR="00B714BA" w14:paraId="731C7654" w14:textId="77777777" w:rsidTr="00B714BA">
        <w:trPr>
          <w:trHeight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9DD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D1B3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 xml:space="preserve">Lungimea sectorului de actualizare 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6E68" w14:textId="77777777" w:rsidR="00B714BA" w:rsidRDefault="00B714BA">
            <w:r>
              <w:t>5,30 km</w:t>
            </w:r>
          </w:p>
        </w:tc>
      </w:tr>
      <w:tr w:rsidR="00B714BA" w14:paraId="002E7936" w14:textId="77777777" w:rsidTr="00B714BA">
        <w:trPr>
          <w:trHeight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999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F768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Necesitatea efectuării studiilor și cercetărilor de teren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CCB" w14:textId="77777777" w:rsidR="00B714BA" w:rsidRDefault="00B714BA">
            <w:pPr>
              <w:ind w:left="208"/>
              <w:rPr>
                <w:color w:val="000000"/>
              </w:rPr>
            </w:pPr>
            <w:r>
              <w:rPr>
                <w:color w:val="000000"/>
              </w:rPr>
              <w:t>Se va actualiza:</w:t>
            </w:r>
          </w:p>
          <w:p w14:paraId="272843AF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Ridicări topo-geodezice, conform art. 31 al Legii nr. 778 din 27.12.2001, privind geodezia, cartografia și geo-informatica</w:t>
            </w:r>
            <w:r>
              <w:rPr>
                <w:color w:val="000000"/>
              </w:rPr>
              <w:sym w:font="Symbol" w:char="F03B"/>
            </w:r>
          </w:p>
          <w:p w14:paraId="4EB9658B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Prospecțiuni geologice, conform NCM L.02.12-2:2018</w:t>
            </w:r>
          </w:p>
          <w:p w14:paraId="39795E96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Examinarea tehnică a sistemului rutier existent și construcțiilor inginerești.</w:t>
            </w:r>
          </w:p>
        </w:tc>
      </w:tr>
      <w:tr w:rsidR="00B714BA" w14:paraId="6BDCA998" w14:textId="77777777" w:rsidTr="00B714BA">
        <w:trPr>
          <w:trHeight w:val="31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C27E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641" w14:textId="77777777" w:rsidR="00B714BA" w:rsidRDefault="00B714BA">
            <w:pPr>
              <w:rPr>
                <w:lang w:val="ro-MD"/>
              </w:rPr>
            </w:pPr>
            <w:r>
              <w:rPr>
                <w:bCs/>
                <w:lang w:val="ro-MD"/>
              </w:rPr>
              <w:t>Parametrii tehnici de bază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6296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0558F1C8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Categoria tehnică a drumului conform NCM D.02.01:2015  conform studiului intensității traficului rutier;</w:t>
            </w:r>
          </w:p>
          <w:p w14:paraId="40403E9A" w14:textId="77777777" w:rsidR="00B714BA" w:rsidRDefault="00B714BA">
            <w:pPr>
              <w:ind w:left="323"/>
              <w:rPr>
                <w:color w:val="000000"/>
              </w:rPr>
            </w:pPr>
            <w:r>
              <w:rPr>
                <w:color w:val="000000"/>
              </w:rPr>
              <w:t>Tipul îmbrăcămintei rutiere – beton asfaltic (sarcina pe osie pentru calculul sistemului rutier – 110 kN);</w:t>
            </w:r>
          </w:p>
          <w:p w14:paraId="7BAE7594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Lucrări de artă - conform normativelor și standardelor în vigoare;</w:t>
            </w:r>
          </w:p>
          <w:p w14:paraId="6EE1B496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Caracteristicile hidrologice – conform CP D.01.05-2012 „Determinarea caracteristicilor hidrologice pentru condițiile Republicii Moldova”;</w:t>
            </w:r>
          </w:p>
          <w:p w14:paraId="63D9C837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Măsuri contra alunecărilor de teren conform: NCM A.06.01.2006 „Protecția tehnică a teritoriului, clădirilor și construcțiilor contra proceselor geologice periculoase. Date generale”;       </w:t>
            </w:r>
          </w:p>
          <w:p w14:paraId="34E2CB36" w14:textId="77777777" w:rsidR="00B714BA" w:rsidRDefault="00B714BA" w:rsidP="00B714BA">
            <w:pPr>
              <w:numPr>
                <w:ilvl w:val="0"/>
                <w:numId w:val="9"/>
              </w:numPr>
              <w:rPr>
                <w:lang w:val="ro-MD"/>
              </w:rPr>
            </w:pPr>
            <w:r>
              <w:rPr>
                <w:lang w:val="ro-MD"/>
              </w:rPr>
              <w:t>Geotextile pentru utilizarea la drumuri SM SR EN 15381:2010 „Geotextile şi produse înrudite. Caracteristici impuse pentru utilizarea la lucrări de drumuri şi pentru straturi de uzură asfaltice”</w:t>
            </w:r>
          </w:p>
          <w:p w14:paraId="7B9A994D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Accesoriile drumului, siguranța rutieră – Conform NCM D.02.01:2015,          CP  D.02.11-2014, altor standarde în vigoare;</w:t>
            </w:r>
          </w:p>
          <w:p w14:paraId="74F81222" w14:textId="77777777" w:rsidR="00B714BA" w:rsidRDefault="00B714BA" w:rsidP="00B714BA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Proiectantul se va conduce de normele și legislația în vigoare.</w:t>
            </w:r>
          </w:p>
        </w:tc>
      </w:tr>
      <w:tr w:rsidR="00B714BA" w14:paraId="7C0DFFA0" w14:textId="77777777" w:rsidTr="00B714BA">
        <w:trPr>
          <w:trHeight w:val="4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272E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C608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Condiţii specifice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1533" w14:textId="77777777" w:rsidR="00B714BA" w:rsidRDefault="00B714BA" w:rsidP="00B714BA">
            <w:pPr>
              <w:numPr>
                <w:ilvl w:val="0"/>
                <w:numId w:val="10"/>
              </w:numPr>
            </w:pPr>
            <w:r>
              <w:t>Proiectantul va actualiza  proiectul elaborat în anul 2017, de către SRL„Universcons”</w:t>
            </w:r>
          </w:p>
          <w:p w14:paraId="3E3DF568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t xml:space="preserve">Proiectantul va aviza </w:t>
            </w:r>
            <w:r>
              <w:rPr>
                <w:lang w:val="ro-MD"/>
              </w:rPr>
              <w:t xml:space="preserve">documentația de proiect cu arhitectul-șef al raionului conform prevederilor art.5 al </w:t>
            </w:r>
            <w:r>
              <w:t>Legii nr.163, din 09.07.2010 ”Privind autorizarea executării lucrărilor de construcții”</w:t>
            </w:r>
          </w:p>
          <w:p w14:paraId="69FC733E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lastRenderedPageBreak/>
              <w:t>Proiectantul va lua în considerație propunerile înaintate de către autoritățile publice locale.</w:t>
            </w:r>
          </w:p>
          <w:p w14:paraId="14DDF0E9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t>Examinarea tehnică a sistemului rutier și construcțiilor existente.</w:t>
            </w:r>
          </w:p>
          <w:p w14:paraId="216FD6E4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rPr>
                <w:lang w:val="ro-MD"/>
              </w:rPr>
              <w:t xml:space="preserve">Proiectantul va elabora lista cantităților materialului  decapat care urmează, după posibilitate, a fi utilizat în sistemul rutier nou sau transmis beneficiarului </w:t>
            </w:r>
          </w:p>
          <w:p w14:paraId="5A939DCD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rPr>
                <w:lang w:val="ro-MD"/>
              </w:rPr>
              <w:t>Proiectantul va întocmi borderoul de măsurări al grosimilor îmbrăcămintei rutiere peste fiecare 100m.</w:t>
            </w:r>
          </w:p>
          <w:p w14:paraId="6C19AB6B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rPr>
                <w:lang w:val="ro-MD"/>
              </w:rPr>
              <w:t>Proiectantul va elabora proiectul de execuție conform prevederilor Standardelor Europene puse în aplicare din 01.01.2021</w:t>
            </w:r>
          </w:p>
          <w:p w14:paraId="2FD221EE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rPr>
                <w:lang w:val="ro-MD"/>
              </w:rPr>
              <w:t xml:space="preserve">Proiectantul va elabora compartimentul privind evaluarea impactului asupra mediului Conform NCM A.07.06:2016. </w:t>
            </w:r>
          </w:p>
          <w:p w14:paraId="2B6C7D41" w14:textId="77777777" w:rsidR="00B714BA" w:rsidRDefault="00B714BA" w:rsidP="00B714BA">
            <w:pPr>
              <w:numPr>
                <w:ilvl w:val="0"/>
                <w:numId w:val="10"/>
              </w:numPr>
              <w:rPr>
                <w:lang w:val="ro-MD"/>
              </w:rPr>
            </w:pPr>
            <w:r>
              <w:rPr>
                <w:lang w:val="ro-MD"/>
              </w:rPr>
              <w:t xml:space="preserve">Proiectantul va lua în calcul epuizmentul de construcții în condiții geotehnice și hidrologice complexe conform  NCM L.02.11-6:2013. </w:t>
            </w:r>
          </w:p>
        </w:tc>
      </w:tr>
      <w:tr w:rsidR="00B714BA" w14:paraId="5CA5E7B0" w14:textId="77777777" w:rsidTr="00B714BA">
        <w:trPr>
          <w:trHeight w:val="32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53C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FF3A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Conţinutul proiectului de execuţie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4B81" w14:textId="77777777" w:rsidR="00B714BA" w:rsidRDefault="00B714BA">
            <w:pPr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Conform NCM A.07.02:2012/А1:2017</w:t>
            </w:r>
            <w:r>
              <w:rPr>
                <w:lang w:val="en-US"/>
              </w:rPr>
              <w:t xml:space="preserve"> „</w:t>
            </w:r>
            <w:r>
              <w:rPr>
                <w:color w:val="000000"/>
                <w:lang w:val="ro-MD"/>
              </w:rPr>
              <w:t>Procedura de elaborare, avizare, aprobare și conținutul-cadru al documentației de proiect pentru construcții. Cerințe și prevederi principale :</w:t>
            </w:r>
          </w:p>
          <w:p w14:paraId="57CE8262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Memoriu explicativ general;</w:t>
            </w:r>
          </w:p>
          <w:p w14:paraId="286CC05F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>Desene de execuție pe compartimente;</w:t>
            </w:r>
          </w:p>
          <w:p w14:paraId="6F1CBD06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</w:rPr>
            </w:pPr>
            <w:r>
              <w:rPr>
                <w:color w:val="000000"/>
              </w:rPr>
              <w:t xml:space="preserve">Compartimentul „Organizarea circulației rutiere și pietonale inclusiv pe   perioada executării lucrărilor ” </w:t>
            </w:r>
            <w:r>
              <w:rPr>
                <w:color w:val="000000"/>
              </w:rPr>
              <w:tab/>
            </w:r>
          </w:p>
          <w:p w14:paraId="3C8C7814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</w:t>
            </w:r>
            <w:r>
              <w:rPr>
                <w:lang w:val="ro-MD"/>
              </w:rPr>
              <w:t>ompartimentului „Organizarea lucrărilor de construcție”;</w:t>
            </w:r>
          </w:p>
          <w:p w14:paraId="73E77C7E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Devize;</w:t>
            </w:r>
          </w:p>
          <w:p w14:paraId="129FD6D3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Caiet</w:t>
            </w:r>
            <w:r>
              <w:rPr>
                <w:color w:val="FFFFFF"/>
                <w:lang w:val="ro-MD"/>
              </w:rPr>
              <w:t xml:space="preserve"> </w:t>
            </w:r>
            <w:r>
              <w:rPr>
                <w:color w:val="000000"/>
                <w:lang w:val="ro-MD"/>
              </w:rPr>
              <w:t>de sarcini;</w:t>
            </w:r>
          </w:p>
          <w:p w14:paraId="1901299B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Cartea tehnică.</w:t>
            </w:r>
          </w:p>
        </w:tc>
      </w:tr>
      <w:tr w:rsidR="00B714BA" w14:paraId="4A6EFBBF" w14:textId="77777777" w:rsidTr="00B714BA">
        <w:trPr>
          <w:trHeight w:val="48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69C" w14:textId="77777777" w:rsidR="00B714BA" w:rsidRDefault="00B714BA" w:rsidP="00B714BA">
            <w:pPr>
              <w:numPr>
                <w:ilvl w:val="0"/>
                <w:numId w:val="8"/>
              </w:numPr>
              <w:jc w:val="center"/>
              <w:rPr>
                <w:bCs/>
                <w:lang w:val="ro-MD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D92F" w14:textId="77777777" w:rsidR="00B714BA" w:rsidRDefault="00B714BA">
            <w:pPr>
              <w:rPr>
                <w:lang w:val="ro-MD"/>
              </w:rPr>
            </w:pPr>
            <w:r>
              <w:rPr>
                <w:lang w:val="ro-MD"/>
              </w:rPr>
              <w:t>Numărul exemplarelor de documentaţie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CA18" w14:textId="77777777" w:rsidR="00B714BA" w:rsidRDefault="00B714BA" w:rsidP="00B714BA">
            <w:pPr>
              <w:numPr>
                <w:ilvl w:val="0"/>
                <w:numId w:val="9"/>
              </w:numPr>
              <w:ind w:left="208" w:hanging="283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În volum de 3 exemplare + varianta electronică editabilă. </w:t>
            </w:r>
          </w:p>
        </w:tc>
      </w:tr>
    </w:tbl>
    <w:p w14:paraId="23B70912" w14:textId="77777777" w:rsidR="00E71F7B" w:rsidRPr="00B714BA" w:rsidRDefault="00E71F7B" w:rsidP="00196AB4">
      <w:pPr>
        <w:pStyle w:val="a"/>
        <w:numPr>
          <w:ilvl w:val="0"/>
          <w:numId w:val="0"/>
        </w:numPr>
        <w:rPr>
          <w:lang w:val="ro-RO"/>
        </w:rPr>
      </w:pPr>
    </w:p>
    <w:p w14:paraId="2E4FF26B" w14:textId="77777777" w:rsidR="00C36A4A" w:rsidRDefault="00C36A4A" w:rsidP="00196AB4">
      <w:pPr>
        <w:ind w:firstLine="709"/>
        <w:jc w:val="both"/>
        <w:rPr>
          <w:b/>
          <w:lang w:val="ro-MD"/>
        </w:rPr>
      </w:pPr>
    </w:p>
    <w:p w14:paraId="570B8A85" w14:textId="24F835B4" w:rsidR="00F4030F" w:rsidRPr="00FF430B" w:rsidRDefault="00F4030F" w:rsidP="00B714BA">
      <w:pPr>
        <w:jc w:val="both"/>
        <w:rPr>
          <w:b/>
          <w:lang w:val="ro-MD"/>
        </w:rPr>
      </w:pPr>
      <w:r w:rsidRPr="00FF430B">
        <w:rPr>
          <w:b/>
          <w:lang w:val="ro-MD"/>
        </w:rPr>
        <w:t xml:space="preserve"> Documente obligatorii la depunerea ofertei</w:t>
      </w:r>
      <w:r w:rsidR="00B714BA">
        <w:rPr>
          <w:b/>
          <w:lang w:val="ro-MD"/>
        </w:rPr>
        <w:t>: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5AEC0930" w:rsidR="00AD2555" w:rsidRDefault="00AD2555" w:rsidP="00BA7A62">
      <w:pPr>
        <w:ind w:firstLine="709"/>
        <w:jc w:val="both"/>
        <w:rPr>
          <w:b/>
          <w:lang w:val="ro-MD"/>
        </w:rPr>
      </w:pPr>
    </w:p>
    <w:p w14:paraId="2C296449" w14:textId="4AF902EF" w:rsidR="00C36A4A" w:rsidRDefault="00C36A4A" w:rsidP="00BA7A62">
      <w:pPr>
        <w:ind w:firstLine="709"/>
        <w:jc w:val="both"/>
        <w:rPr>
          <w:b/>
          <w:lang w:val="ro-MD"/>
        </w:rPr>
      </w:pPr>
    </w:p>
    <w:p w14:paraId="4DF2706D" w14:textId="68CFEB20" w:rsidR="00C36A4A" w:rsidRDefault="00C36A4A" w:rsidP="00BA7A62">
      <w:pPr>
        <w:ind w:firstLine="709"/>
        <w:jc w:val="both"/>
        <w:rPr>
          <w:b/>
          <w:lang w:val="ro-MD"/>
        </w:rPr>
      </w:pPr>
    </w:p>
    <w:p w14:paraId="0B7C0930" w14:textId="307932C2" w:rsidR="00C36A4A" w:rsidRDefault="00C36A4A" w:rsidP="00BA7A62">
      <w:pPr>
        <w:ind w:firstLine="709"/>
        <w:jc w:val="both"/>
        <w:rPr>
          <w:b/>
          <w:lang w:val="ro-MD"/>
        </w:rPr>
      </w:pPr>
    </w:p>
    <w:p w14:paraId="349CF86C" w14:textId="04F306B4" w:rsidR="00C36A4A" w:rsidRDefault="00C36A4A" w:rsidP="00BA7A62">
      <w:pPr>
        <w:ind w:firstLine="709"/>
        <w:jc w:val="both"/>
        <w:rPr>
          <w:b/>
          <w:lang w:val="ro-MD"/>
        </w:rPr>
      </w:pPr>
    </w:p>
    <w:p w14:paraId="7A54D518" w14:textId="0BD5300F" w:rsidR="00C36A4A" w:rsidRDefault="00C36A4A" w:rsidP="00BA7A62">
      <w:pPr>
        <w:ind w:firstLine="709"/>
        <w:jc w:val="both"/>
        <w:rPr>
          <w:b/>
          <w:lang w:val="ro-MD"/>
        </w:rPr>
      </w:pPr>
    </w:p>
    <w:p w14:paraId="0CA16E51" w14:textId="2811DC1D" w:rsidR="00B714BA" w:rsidRDefault="00B714BA" w:rsidP="00BA7A62">
      <w:pPr>
        <w:ind w:firstLine="709"/>
        <w:jc w:val="both"/>
        <w:rPr>
          <w:b/>
          <w:lang w:val="ro-MD"/>
        </w:rPr>
      </w:pPr>
    </w:p>
    <w:p w14:paraId="50361156" w14:textId="4543F10D" w:rsidR="00B714BA" w:rsidRDefault="00B714BA" w:rsidP="00BA7A62">
      <w:pPr>
        <w:ind w:firstLine="709"/>
        <w:jc w:val="both"/>
        <w:rPr>
          <w:b/>
          <w:lang w:val="ro-MD"/>
        </w:rPr>
      </w:pPr>
    </w:p>
    <w:p w14:paraId="5A834D46" w14:textId="7A385031" w:rsidR="00B714BA" w:rsidRDefault="00B714BA" w:rsidP="00BA7A62">
      <w:pPr>
        <w:ind w:firstLine="709"/>
        <w:jc w:val="both"/>
        <w:rPr>
          <w:b/>
          <w:lang w:val="ro-MD"/>
        </w:rPr>
      </w:pPr>
    </w:p>
    <w:p w14:paraId="5D6958DE" w14:textId="55D0C151" w:rsidR="00B714BA" w:rsidRDefault="00B714BA" w:rsidP="00BA7A62">
      <w:pPr>
        <w:ind w:firstLine="709"/>
        <w:jc w:val="both"/>
        <w:rPr>
          <w:b/>
          <w:lang w:val="ro-MD"/>
        </w:rPr>
      </w:pPr>
    </w:p>
    <w:p w14:paraId="44952761" w14:textId="29147DBF" w:rsidR="00B714BA" w:rsidRDefault="00B714BA" w:rsidP="00BA7A62">
      <w:pPr>
        <w:ind w:firstLine="709"/>
        <w:jc w:val="both"/>
        <w:rPr>
          <w:b/>
          <w:lang w:val="ro-MD"/>
        </w:rPr>
      </w:pPr>
    </w:p>
    <w:p w14:paraId="1228C322" w14:textId="77777777" w:rsidR="00B714BA" w:rsidRDefault="00B714BA" w:rsidP="00BA7A62">
      <w:pPr>
        <w:ind w:firstLine="709"/>
        <w:jc w:val="both"/>
        <w:rPr>
          <w:b/>
          <w:lang w:val="ro-MD"/>
        </w:rPr>
      </w:pPr>
    </w:p>
    <w:p w14:paraId="1992449E" w14:textId="77777777" w:rsidR="00B714BA" w:rsidRDefault="00B714BA" w:rsidP="00BA7A62">
      <w:pPr>
        <w:ind w:firstLine="709"/>
        <w:jc w:val="both"/>
        <w:rPr>
          <w:b/>
          <w:lang w:val="ro-MD"/>
        </w:rPr>
      </w:pPr>
    </w:p>
    <w:p w14:paraId="7E7E71AB" w14:textId="7C3D33FD" w:rsidR="00C36A4A" w:rsidRDefault="00C36A4A" w:rsidP="00BA7A62">
      <w:pPr>
        <w:ind w:firstLine="709"/>
        <w:jc w:val="both"/>
        <w:rPr>
          <w:b/>
          <w:lang w:val="ro-MD"/>
        </w:rPr>
      </w:pPr>
    </w:p>
    <w:p w14:paraId="53006679" w14:textId="77777777" w:rsidR="00B714BA" w:rsidRDefault="00B714BA" w:rsidP="00BA7A62">
      <w:pPr>
        <w:ind w:firstLine="709"/>
        <w:jc w:val="both"/>
        <w:rPr>
          <w:b/>
          <w:lang w:val="ro-MD"/>
        </w:rPr>
      </w:pPr>
    </w:p>
    <w:p w14:paraId="30834D81" w14:textId="2473B3A9" w:rsidR="00BA7A62" w:rsidRDefault="00F4030F" w:rsidP="00B714BA">
      <w:pPr>
        <w:jc w:val="both"/>
        <w:rPr>
          <w:lang w:val="ro-MD"/>
        </w:rPr>
      </w:pPr>
      <w:r w:rsidRPr="00FF430B">
        <w:rPr>
          <w:b/>
          <w:lang w:val="ro-MD"/>
        </w:rPr>
        <w:lastRenderedPageBreak/>
        <w:t>Documente obligatorii la evaluarea ofertelor</w:t>
      </w:r>
      <w:r w:rsidR="00B714BA">
        <w:rPr>
          <w:b/>
          <w:lang w:val="ro-MD"/>
        </w:rPr>
        <w:t>: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11B70D53" w14:textId="77777777" w:rsidR="00B714BA" w:rsidRDefault="0078205A" w:rsidP="00B714BA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</w:t>
      </w:r>
      <w:r w:rsidR="00B714BA">
        <w:rPr>
          <w:lang w:val="ro-MD"/>
        </w:rPr>
        <w:t>/</w:t>
      </w:r>
    </w:p>
    <w:p w14:paraId="59CE4FDE" w14:textId="4F97B1FD" w:rsidR="0078205A" w:rsidRPr="00B714BA" w:rsidRDefault="00B714BA" w:rsidP="00B714BA">
      <w:pPr>
        <w:pStyle w:val="a"/>
        <w:numPr>
          <w:ilvl w:val="0"/>
          <w:numId w:val="0"/>
        </w:numPr>
        <w:tabs>
          <w:tab w:val="clear" w:pos="1134"/>
          <w:tab w:val="left" w:pos="-284"/>
          <w:tab w:val="left" w:pos="426"/>
        </w:tabs>
        <w:ind w:right="-472"/>
        <w:rPr>
          <w:lang w:val="ro-MD"/>
        </w:rPr>
      </w:pPr>
      <w:r>
        <w:rPr>
          <w:lang w:val="ro-MD"/>
        </w:rPr>
        <w:t xml:space="preserve">       </w:t>
      </w:r>
      <w:r w:rsidR="0078205A" w:rsidRPr="00B714BA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345110A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="00B714BA">
        <w:rPr>
          <w:lang w:val="ro-MD"/>
        </w:rPr>
        <w:t>.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1B5F2C8E" w:rsidR="0019071C" w:rsidRDefault="0019071C" w:rsidP="00AD5519">
      <w:pPr>
        <w:jc w:val="both"/>
        <w:rPr>
          <w:bCs/>
          <w:lang w:val="ro-MD"/>
        </w:rPr>
      </w:pPr>
    </w:p>
    <w:p w14:paraId="2D3CFE2E" w14:textId="77777777" w:rsidR="00B714BA" w:rsidRPr="00FF430B" w:rsidRDefault="00B714BA" w:rsidP="00AD5519">
      <w:pPr>
        <w:jc w:val="both"/>
        <w:rPr>
          <w:bCs/>
          <w:lang w:val="ro-MD"/>
        </w:rPr>
      </w:pPr>
    </w:p>
    <w:p w14:paraId="463033C1" w14:textId="5F1222DF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</w:t>
      </w:r>
      <w:r w:rsidR="00B714BA">
        <w:rPr>
          <w:lang w:val="ro-MD"/>
        </w:rPr>
        <w:t>___</w:t>
      </w:r>
      <w:r w:rsidRPr="00FF430B">
        <w:rPr>
          <w:lang w:val="ro-MD"/>
        </w:rPr>
        <w:t>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634364">
    <w:abstractNumId w:val="8"/>
  </w:num>
  <w:num w:numId="2" w16cid:durableId="2067099020">
    <w:abstractNumId w:val="9"/>
  </w:num>
  <w:num w:numId="3" w16cid:durableId="423691444">
    <w:abstractNumId w:val="5"/>
  </w:num>
  <w:num w:numId="4" w16cid:durableId="1745420745">
    <w:abstractNumId w:val="6"/>
  </w:num>
  <w:num w:numId="5" w16cid:durableId="712464321">
    <w:abstractNumId w:val="7"/>
  </w:num>
  <w:num w:numId="6" w16cid:durableId="277369197">
    <w:abstractNumId w:val="7"/>
  </w:num>
  <w:num w:numId="7" w16cid:durableId="197632848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28336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2713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542325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346F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14BA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6A4A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3CA1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2022-01-24T13:56:00Z</cp:lastPrinted>
  <dcterms:created xsi:type="dcterms:W3CDTF">2022-04-21T10:54:00Z</dcterms:created>
  <dcterms:modified xsi:type="dcterms:W3CDTF">2022-04-21T10:54:00Z</dcterms:modified>
</cp:coreProperties>
</file>