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1166F68A" w:rsidR="008B12E2" w:rsidRPr="00793599" w:rsidRDefault="00BE362C" w:rsidP="00793599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0F3E7D" w:rsidRPr="00184CEF">
        <w:rPr>
          <w:b/>
          <w:bCs/>
        </w:rPr>
        <w:t>întreținere periodică a drumurilor publice naționale amplasate în raioanele Briceni, Dondușeni, Edineț, Ocnita</w:t>
      </w:r>
      <w:r w:rsidR="00FD3696">
        <w:rPr>
          <w:b/>
          <w:bCs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30B222B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1A5E01">
        <w:rPr>
          <w:rFonts w:ascii="Helvetica" w:hAnsi="Helvetica" w:cs="Helvetica"/>
          <w:color w:val="333333"/>
          <w:shd w:val="clear" w:color="auto" w:fill="FFFFFF"/>
        </w:rPr>
        <w:t>ocds-b3wdp1-MD-1652177175383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B5A913B" w:rsidR="009C7F19" w:rsidRPr="000F3E7D" w:rsidRDefault="00FD3696" w:rsidP="00AF0079">
            <w:pPr>
              <w:jc w:val="both"/>
              <w:rPr>
                <w:b/>
                <w:bCs/>
                <w:lang w:val="en-US"/>
              </w:rPr>
            </w:pPr>
            <w:r w:rsidRPr="000F3E7D">
              <w:rPr>
                <w:b/>
                <w:bCs/>
              </w:rPr>
              <w:t xml:space="preserve">Lucrari de </w:t>
            </w:r>
            <w:r w:rsidR="000F3E7D" w:rsidRPr="000F3E7D">
              <w:rPr>
                <w:b/>
                <w:bCs/>
              </w:rPr>
              <w:t>întreținere periodică a drumurilor publice naționale amplasate în raioanele Briceni, Dondușeni, Edineț, Ocnita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37A488AF" w:rsidR="009C7F19" w:rsidRDefault="002468BA" w:rsidP="002468BA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35D2306A" w:rsidR="009C7F19" w:rsidRPr="00FD3696" w:rsidRDefault="000F3E7D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7 752 667,00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5B15E2FA" w:rsidR="009C7F19" w:rsidRPr="00A63D88" w:rsidRDefault="000F3E7D" w:rsidP="002468BA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7 752 667,00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995F3F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0F3E7D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0F3E7D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312FB58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0F3E7D">
              <w:rPr>
                <w:lang w:val="ro-MD"/>
              </w:rPr>
              <w:t>7</w:t>
            </w:r>
            <w:r>
              <w:rPr>
                <w:lang w:val="ro-MD"/>
              </w:rPr>
              <w:t> 000 000,00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759FD2C0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0F3E7D">
              <w:rPr>
                <w:lang w:val="ro-MD"/>
              </w:rPr>
              <w:t>7</w:t>
            </w:r>
            <w:r>
              <w:rPr>
                <w:lang w:val="ro-MD"/>
              </w:rPr>
              <w:t> 000 000,00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50C9BAAC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0F3E7D">
        <w:rPr>
          <w:b/>
          <w:iCs/>
          <w:noProof w:val="0"/>
          <w:color w:val="000000" w:themeColor="text1"/>
          <w:lang w:val="ro-MD" w:eastAsia="ru-RU"/>
        </w:rPr>
        <w:t>31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0F3E7D">
        <w:rPr>
          <w:b/>
          <w:iCs/>
          <w:noProof w:val="0"/>
          <w:color w:val="000000" w:themeColor="text1"/>
          <w:lang w:val="ro-MD" w:eastAsia="ru-RU"/>
        </w:rPr>
        <w:t>5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054793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05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713DC56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2021-08-05T07:47:00Z</cp:lastPrinted>
  <dcterms:created xsi:type="dcterms:W3CDTF">2022-05-10T10:19:00Z</dcterms:created>
  <dcterms:modified xsi:type="dcterms:W3CDTF">2022-05-10T10:19:00Z</dcterms:modified>
</cp:coreProperties>
</file>