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E6E5DF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700D8B5A" w14:textId="77777777" w:rsidR="006862F5" w:rsidRPr="006862F5" w:rsidRDefault="006862F5" w:rsidP="006862F5">
      <w:pPr>
        <w:rPr>
          <w:lang w:val="ro-MD"/>
        </w:rPr>
      </w:pPr>
    </w:p>
    <w:p w14:paraId="2DD7BE65" w14:textId="7162C550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676BEF">
        <w:rPr>
          <w:rFonts w:ascii="Helvetica" w:hAnsi="Helvetica" w:cs="Helvetica"/>
          <w:color w:val="333333"/>
          <w:shd w:val="clear" w:color="auto" w:fill="FFFFFF"/>
        </w:rPr>
        <w:t>ocds-b3wdp1-MD-1659705450618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7"/>
        <w:gridCol w:w="2526"/>
        <w:gridCol w:w="7816"/>
      </w:tblGrid>
      <w:tr w:rsidR="006862F5" w14:paraId="7F2CE4ED" w14:textId="77777777" w:rsidTr="006862F5">
        <w:trPr>
          <w:trHeight w:val="83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F19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noProof w:val="0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8D03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Denumirea lucrării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7824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Actualizarea soluțiilor de proiect privind reparația podului de încrucișare poziționat pe drumul expres M5 Frontiera cu Ucraina–Criva–Bălți–Chișinău–Tiraspol–frontiera cu Ucraina, km 264,790.</w:t>
            </w:r>
          </w:p>
        </w:tc>
      </w:tr>
      <w:tr w:rsidR="006862F5" w14:paraId="1F0EED52" w14:textId="77777777" w:rsidTr="006862F5">
        <w:trPr>
          <w:trHeight w:val="50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EDB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2404" w14:textId="77777777" w:rsidR="006862F5" w:rsidRDefault="006862F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Temeiul proiectării 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7C0D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Demersul Ministerului Infrastructurii și Dezvoltării Regionale cu nr. 08-2694 din 31.05.2022</w:t>
            </w:r>
          </w:p>
        </w:tc>
      </w:tr>
      <w:tr w:rsidR="006862F5" w14:paraId="7A9E1578" w14:textId="77777777" w:rsidTr="006862F5">
        <w:trPr>
          <w:trHeight w:val="31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1A2A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9A6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Faza de proiectare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BE94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Proiect de execuție.</w:t>
            </w:r>
          </w:p>
        </w:tc>
      </w:tr>
      <w:tr w:rsidR="006862F5" w14:paraId="01F586E1" w14:textId="77777777" w:rsidTr="006862F5">
        <w:trPr>
          <w:trHeight w:val="34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9767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192B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Proiectant general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5CCB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Conform procedurii de achiziție publică.</w:t>
            </w:r>
          </w:p>
        </w:tc>
      </w:tr>
      <w:tr w:rsidR="006862F5" w14:paraId="70EF88A2" w14:textId="77777777" w:rsidTr="006862F5">
        <w:trPr>
          <w:trHeight w:val="5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22E1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F3F9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Amplasamentul 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6F4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Pod de încrucișare km 264,790 (parte componentă a nodului rutier),</w:t>
            </w:r>
          </w:p>
          <w:p w14:paraId="63709420" w14:textId="77777777" w:rsidR="006862F5" w:rsidRDefault="006862F5" w:rsidP="006862F5">
            <w:pPr>
              <w:ind w:left="255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Latitudine: 47° 6'44.85"N; Longitudine: 28°51'27.59"E.</w:t>
            </w:r>
          </w:p>
        </w:tc>
      </w:tr>
      <w:tr w:rsidR="006862F5" w14:paraId="4F211579" w14:textId="77777777" w:rsidTr="006862F5">
        <w:trPr>
          <w:trHeight w:val="102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961B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48F8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Necesitatea efectuării studiilor și cercetărilor în teren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5704" w14:textId="77777777" w:rsidR="006862F5" w:rsidRDefault="006862F5" w:rsidP="006862F5">
            <w:pPr>
              <w:numPr>
                <w:ilvl w:val="0"/>
                <w:numId w:val="16"/>
              </w:numPr>
              <w:ind w:left="66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Expertiza tehnică a grinzilor prefabricate din beton armat cu lungimea de 33,0 m, montate la podul de încrucișare amplasat în mun. Chișinău, intersecția str. Bucovina și Milescu Spătaru (construcție nefinalizată);</w:t>
            </w:r>
          </w:p>
          <w:p w14:paraId="5B831748" w14:textId="77777777" w:rsidR="006862F5" w:rsidRDefault="006862F5" w:rsidP="006862F5">
            <w:pPr>
              <w:numPr>
                <w:ilvl w:val="0"/>
                <w:numId w:val="16"/>
              </w:numPr>
              <w:ind w:left="66" w:hanging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Ridicări topo geodezice;</w:t>
            </w:r>
          </w:p>
        </w:tc>
      </w:tr>
      <w:tr w:rsidR="006862F5" w14:paraId="0CB97895" w14:textId="77777777" w:rsidTr="006862F5">
        <w:trPr>
          <w:trHeight w:val="36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783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D4A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Seismicitatea zonei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6B6A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Conform zonei de amplasament: 7 grade pe scara MSK-64</w:t>
            </w:r>
          </w:p>
        </w:tc>
      </w:tr>
      <w:tr w:rsidR="006862F5" w14:paraId="405FBAED" w14:textId="77777777" w:rsidTr="006862F5">
        <w:trPr>
          <w:trHeight w:val="518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303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4D7D" w14:textId="77777777" w:rsidR="006862F5" w:rsidRDefault="006862F5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Parametrii tehnici de bază la actualizarea proiectului de execuție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E41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proiectul de execuție în conformitate cu prevederile Normelor Europene, puse în aplicare din 01.01.2021.</w:t>
            </w:r>
          </w:p>
          <w:p w14:paraId="1D769625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Tipul îmbrăcămintei rutiere pe calea podurilor – beton asfaltic.</w:t>
            </w:r>
          </w:p>
          <w:p w14:paraId="696ADDCF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Tipul îmbrăcăminții rutiere pe drumuri de acces conexe – beton asfaltic (sarcina pe osie pentru calculul sistemului rutier – 115 kN).</w:t>
            </w:r>
          </w:p>
          <w:p w14:paraId="43CC3C45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Lățimea gabaritelor de liberă trecere la nivelul căii podurilor se va corela cu recomandările prevăzute în raportul de Recensământ a circulației rutiere, din 24.06.2021, inclusiv în conformitate cu NCM D.02.01:2015.</w:t>
            </w:r>
          </w:p>
          <w:p w14:paraId="0D30F664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Clasa de încărcare în conformitate cu СНиП</w:t>
            </w:r>
            <w:r>
              <w:rPr>
                <w:color w:val="000000"/>
                <w:lang w:val="en-US"/>
              </w:rPr>
              <w:t xml:space="preserve"> 2.05.03-84*</w:t>
            </w:r>
            <w:r>
              <w:rPr>
                <w:color w:val="000000"/>
              </w:rPr>
              <w:t>: Sarcini temporare A11 și NK-80.</w:t>
            </w:r>
          </w:p>
          <w:p w14:paraId="2A690D35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Lucrări de artă conform СНиП 2.05.03-84* „Мосты и трубы”, și a altor standarde în vigoare.</w:t>
            </w:r>
          </w:p>
          <w:p w14:paraId="1B2C6A8C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Măsuri privind protecția anticorozivă a construcțiilor, NCM E.04.04:2016.</w:t>
            </w:r>
          </w:p>
          <w:p w14:paraId="12002A7E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Proiectarea podurilor în zone seismice – CP D.02.05:2017.</w:t>
            </w:r>
          </w:p>
          <w:p w14:paraId="2B6AEF01" w14:textId="77777777" w:rsidR="006862F5" w:rsidRDefault="006862F5" w:rsidP="006862F5">
            <w:pPr>
              <w:numPr>
                <w:ilvl w:val="0"/>
                <w:numId w:val="13"/>
              </w:numPr>
              <w:ind w:left="210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Accesoriile drumului, siguranța rutieră conform – NCM D.02.01:2015.</w:t>
            </w:r>
          </w:p>
        </w:tc>
      </w:tr>
      <w:tr w:rsidR="006862F5" w14:paraId="634AD82E" w14:textId="77777777" w:rsidTr="006862F5">
        <w:trPr>
          <w:trHeight w:val="1201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D77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C021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Condiții specifice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79EB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compartiment privind demontarea grinzii existente din BA precomprimat cu lungime de 33m ce se află în stare avariată;</w:t>
            </w:r>
          </w:p>
          <w:p w14:paraId="39791499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compartimentul privind organizarea lucrărilor de demontare, transportare și depozitare a grinzilor din BA precomprimat cu lungime de 33m, actualmente montate la podul de încrucișare amplasat în mun. Chișinău, intersecția str. Bucovina și Milescu Spătaru (construcție nefinalizată);</w:t>
            </w:r>
          </w:p>
          <w:p w14:paraId="7517FE75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actualizarea soluțiilor de proiect, se va opta pentru soluții care vor duce la optimizarea cheltuielilor pentru execuția lucrărilor de reconstrucție inclusiv și pentru lucrările ulterioare de întreținere; </w:t>
            </w:r>
          </w:p>
          <w:p w14:paraId="3489B648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La dimensionarea structurilor proiectantul va analiza raportul de Recensământ a circulației rutiere, din 24.06.2021, (date colectate în cadrul nodului rutier la intersecția drumurilor M1, M5 și R6).</w:t>
            </w:r>
          </w:p>
          <w:p w14:paraId="2222B1AA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La elaborarea a cca. 30% din proiectul de execuție actualizat (direct proporțional cu termenul de execuție stipulat în contract), proiectantul va prezenta spre aprobare către beneficiar, conceptul soluțiilor de proiect pentru care s-a optat, acesta va conține imaginea de ansamblu, viziunea de perspectivă privind dezvoltarea nodului rutier, bazată pe date relevante, precum și argumentarea tehnico-economică.</w:t>
            </w:r>
          </w:p>
          <w:p w14:paraId="28068181" w14:textId="77777777" w:rsidR="006862F5" w:rsidRDefault="006862F5" w:rsidP="006862F5">
            <w:pPr>
              <w:ind w:left="360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În context beneficiarul va specifica (după caz), exigențe obligatorii și/sau suplimentare soluțiilor de proiect elaborate și prezentate de proiectant. </w:t>
            </w:r>
            <w:r>
              <w:rPr>
                <w:color w:val="000000"/>
              </w:rPr>
              <w:t xml:space="preserve"> </w:t>
            </w:r>
          </w:p>
          <w:p w14:paraId="1CA2F4ED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integra în proiectul de execuție soluțiile de proiect elaborate anterior, care prevăd coborârea cotei de nivel a părții carosabile la breteaua de acces R6-M1;</w:t>
            </w:r>
          </w:p>
          <w:p w14:paraId="329AF161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Elaborarea și înaintarea spre aprobare a unui sistem de monitorizare (măsurarea efortului și deformațiilor) în timp a suprastructurilor.</w:t>
            </w:r>
          </w:p>
          <w:p w14:paraId="7D2AE270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Elaborarea și înaintarea spre aprobare a modelului și modului de instalare a reperelor de nivel la pilele podului în scopul monitorizării în timp a infrastructurii (tasări și deformații), ulterior la aceste repere se va atribui câte o cotă absolută și se va înregistra în cartea podului;</w:t>
            </w:r>
          </w:p>
          <w:p w14:paraId="713DD879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Raportul de expertiză tehnică va conține compartimentul încercări pe betoane (clasa betoanelor prin metode nedistructive și/sau distructive, adâncimea de carbonatare, etc.).</w:t>
            </w:r>
          </w:p>
          <w:p w14:paraId="6CA68879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compartimentul privind evaluarea impactului asupra mediului.</w:t>
            </w:r>
          </w:p>
          <w:p w14:paraId="4BCE8729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aviza documentația de proiect conform prevederilor art.5 pct.5 al Legii nr.163, din 09.07.2010 ”Privind autorizarea executării lucrărilor de construcții”.</w:t>
            </w:r>
          </w:p>
          <w:p w14:paraId="4D241DD0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Compartimentul Devize, se va întocmi inclusiv în baza costurilor utilajelor de construcții aprobate de către Î.S. „Administrația  de Stat  a Drumurilor”. </w:t>
            </w:r>
          </w:p>
          <w:p w14:paraId="7D98A04E" w14:textId="77777777" w:rsidR="006862F5" w:rsidRDefault="006862F5" w:rsidP="006862F5">
            <w:pPr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În perioada de derulare a procedurilor de achiziție publică pentru selectarea executantului lucrărilor de construcție, vor fi elaborate inclusiv răspunsuri la clarificările solicitate de agenții economici interesați.</w:t>
            </w:r>
          </w:p>
        </w:tc>
      </w:tr>
      <w:tr w:rsidR="006862F5" w14:paraId="49EE5862" w14:textId="77777777" w:rsidTr="006862F5">
        <w:trPr>
          <w:trHeight w:val="1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42B0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3BF2" w14:textId="77777777" w:rsidR="006862F5" w:rsidRDefault="006862F5">
            <w:pPr>
              <w:spacing w:line="276" w:lineRule="auto"/>
              <w:rPr>
                <w:bCs/>
                <w:color w:val="000000"/>
              </w:rPr>
            </w:pPr>
            <w:r>
              <w:rPr>
                <w:color w:val="000000"/>
              </w:rPr>
              <w:t>Date inițiale la tema de proiect, avize, acorduri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7CDE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Beneficiarul va obține cu susținerea Proiectantului: </w:t>
            </w:r>
          </w:p>
          <w:p w14:paraId="37F23534" w14:textId="77777777" w:rsidR="006862F5" w:rsidRDefault="006862F5" w:rsidP="006862F5">
            <w:pPr>
              <w:numPr>
                <w:ilvl w:val="0"/>
                <w:numId w:val="18"/>
              </w:numPr>
              <w:ind w:left="255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Certificatul de urbanism;</w:t>
            </w:r>
          </w:p>
          <w:p w14:paraId="61EFDC96" w14:textId="77777777" w:rsidR="006862F5" w:rsidRDefault="006862F5" w:rsidP="006862F5">
            <w:pPr>
              <w:numPr>
                <w:ilvl w:val="0"/>
                <w:numId w:val="18"/>
              </w:numPr>
              <w:ind w:left="255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Avizul autorităților administrației publice locale și organelor de stat de supraveghere.</w:t>
            </w:r>
          </w:p>
        </w:tc>
      </w:tr>
      <w:tr w:rsidR="006862F5" w14:paraId="7BA4C029" w14:textId="77777777" w:rsidTr="006862F5">
        <w:trPr>
          <w:trHeight w:val="19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8509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9784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Conținutul proiectului de execuție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765A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Conform NCM A. 07.02-2012:</w:t>
            </w:r>
          </w:p>
          <w:p w14:paraId="5487148A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Memoriu explicativ general;</w:t>
            </w:r>
          </w:p>
          <w:p w14:paraId="5D2BD4A9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Desene pe compartimente;</w:t>
            </w:r>
          </w:p>
          <w:p w14:paraId="758A5220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Specificații tehnice;</w:t>
            </w:r>
          </w:p>
          <w:p w14:paraId="567D83B2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Liste de cantități pe compartimente (în format electronic Ms Excel, cu formule de calcul);</w:t>
            </w:r>
          </w:p>
          <w:p w14:paraId="28321710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Raport topo-geodezic;</w:t>
            </w:r>
          </w:p>
          <w:p w14:paraId="24AB7AA9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Raport geotehnic;</w:t>
            </w:r>
          </w:p>
          <w:p w14:paraId="618D618F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Raport hidrometeorologic;</w:t>
            </w:r>
          </w:p>
          <w:p w14:paraId="07E4A5AF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Devize conform art. 4.2.7 al CP L.01.01:2012, privind întocmirea devizelor pentru lucrări de construcție-montaj prin metoda de resurse (inclusiv forma 5), elaborarea caietului de sarcini pentru licitarea lucrărilor de reconstrucție;</w:t>
            </w:r>
          </w:p>
          <w:p w14:paraId="69B4F247" w14:textId="77777777" w:rsidR="006862F5" w:rsidRDefault="006862F5" w:rsidP="006862F5">
            <w:pPr>
              <w:numPr>
                <w:ilvl w:val="0"/>
                <w:numId w:val="15"/>
              </w:numPr>
              <w:ind w:left="255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Elaborarea compartimentului „Drumuri” (inclusiv reamenajarea bretelelor de acces către podul de încrucișare, supralărgirea drumului M1 în concordanță cu recomandările relatate în raportul de Recensământ a circulației rutiere, din 24.06.2021, (date colectate în cadrul nodului rutier la intersecția drumurilor M1, M5 și R6) asigurând conexiunea cu proiectul elaborat anterior.</w:t>
            </w:r>
          </w:p>
          <w:p w14:paraId="5DBF877A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Elaborarea compartimentului „Argumentarea </w:t>
            </w:r>
            <w:proofErr w:type="spellStart"/>
            <w:r>
              <w:rPr>
                <w:color w:val="000000"/>
                <w:lang w:val="ro-RO"/>
              </w:rPr>
              <w:t>tehnico</w:t>
            </w:r>
            <w:proofErr w:type="spellEnd"/>
            <w:r>
              <w:rPr>
                <w:color w:val="000000"/>
                <w:lang w:val="ro-RO"/>
              </w:rPr>
              <w:t>-economică a investițiilor”;</w:t>
            </w:r>
          </w:p>
          <w:p w14:paraId="17BD2C90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Elaborarea compartimentului „Organizarea șantierului de construcție” conform NCM A. 07.02-2012;</w:t>
            </w:r>
          </w:p>
          <w:p w14:paraId="4F63509A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Elaborarea compartimentului „Organizarea circulației rutiere și pietonale (inclusiv pe perioada executării lucrărilor de reconstrucție)”;</w:t>
            </w:r>
          </w:p>
          <w:p w14:paraId="3017F7F1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Elaborarea compartimentului „Stații de așteptare a transportului public” (după caz);</w:t>
            </w:r>
          </w:p>
          <w:p w14:paraId="228FA3C8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Elaborarea compartimentului „Rețele electrice, telecomunicații și iluminant stradal (inclusiv pentru perioada executării lucrărilor de reconstrucție)” (după caz);</w:t>
            </w:r>
          </w:p>
          <w:p w14:paraId="7B8AF137" w14:textId="77777777" w:rsidR="006862F5" w:rsidRDefault="006862F5" w:rsidP="006862F5">
            <w:pPr>
              <w:pStyle w:val="a"/>
              <w:numPr>
                <w:ilvl w:val="0"/>
                <w:numId w:val="15"/>
              </w:numPr>
              <w:tabs>
                <w:tab w:val="clear" w:pos="1134"/>
              </w:tabs>
              <w:ind w:left="255" w:hanging="255"/>
              <w:contextualSpacing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Elaborarea compartimentului „Exploatarea și recultivarea gropii de împrumut” (după caz);</w:t>
            </w:r>
          </w:p>
          <w:p w14:paraId="1C54C8B6" w14:textId="77777777" w:rsidR="006862F5" w:rsidRDefault="006862F5" w:rsidP="006862F5">
            <w:pPr>
              <w:numPr>
                <w:ilvl w:val="0"/>
                <w:numId w:val="15"/>
              </w:numPr>
              <w:ind w:left="255" w:hanging="255"/>
              <w:jc w:val="both"/>
              <w:rPr>
                <w:color w:val="000000"/>
              </w:rPr>
            </w:pPr>
            <w:r>
              <w:rPr>
                <w:color w:val="000000"/>
              </w:rPr>
              <w:t>Cartea tehnică.</w:t>
            </w:r>
          </w:p>
        </w:tc>
      </w:tr>
      <w:tr w:rsidR="006862F5" w14:paraId="7AA755FE" w14:textId="77777777" w:rsidTr="006862F5">
        <w:trPr>
          <w:trHeight w:val="49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11F" w14:textId="77777777" w:rsidR="006862F5" w:rsidRDefault="006862F5" w:rsidP="006862F5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68C2" w14:textId="77777777" w:rsidR="006862F5" w:rsidRDefault="006862F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Numărul de exemplare de documentație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B61C" w14:textId="77777777" w:rsidR="006862F5" w:rsidRDefault="006862F5" w:rsidP="00686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În volum de 3 exemplare + varianta electronică.</w:t>
            </w:r>
          </w:p>
        </w:tc>
      </w:tr>
    </w:tbl>
    <w:p w14:paraId="5B9979A9" w14:textId="77777777" w:rsidR="007E76D1" w:rsidRPr="007E76D1" w:rsidRDefault="007E76D1" w:rsidP="00196AB4">
      <w:pPr>
        <w:pStyle w:val="a"/>
        <w:numPr>
          <w:ilvl w:val="0"/>
          <w:numId w:val="0"/>
        </w:numPr>
        <w:rPr>
          <w:lang w:val="ro-RO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6B0615CE" w:rsidR="00AD2555" w:rsidRDefault="00AD2555" w:rsidP="00BA7A62">
      <w:pPr>
        <w:ind w:firstLine="709"/>
        <w:jc w:val="both"/>
        <w:rPr>
          <w:b/>
          <w:lang w:val="ro-MD"/>
        </w:rPr>
      </w:pPr>
    </w:p>
    <w:p w14:paraId="565113F8" w14:textId="77777777" w:rsidR="006862F5" w:rsidRDefault="006862F5" w:rsidP="006862F5">
      <w:pPr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B6045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</w:t>
      </w:r>
      <w:r w:rsidR="00D158FC">
        <w:rPr>
          <w:lang w:val="ro-MD"/>
        </w:rPr>
        <w:t>/</w:t>
      </w:r>
    </w:p>
    <w:p w14:paraId="59CE4FDE" w14:textId="6012B25D" w:rsidR="0078205A" w:rsidRPr="00FF430B" w:rsidRDefault="00D158FC" w:rsidP="00D158FC">
      <w:pPr>
        <w:pStyle w:val="a"/>
        <w:numPr>
          <w:ilvl w:val="0"/>
          <w:numId w:val="0"/>
        </w:numPr>
        <w:tabs>
          <w:tab w:val="clear" w:pos="1134"/>
          <w:tab w:val="left" w:pos="-284"/>
          <w:tab w:val="left" w:pos="426"/>
        </w:tabs>
        <w:ind w:right="-613"/>
        <w:rPr>
          <w:lang w:val="ro-MD"/>
        </w:rPr>
      </w:pPr>
      <w:r>
        <w:rPr>
          <w:lang w:val="ro-MD"/>
        </w:rPr>
        <w:t xml:space="preserve">       </w:t>
      </w:r>
      <w:r w:rsidR="0078205A"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FC05C94"/>
    <w:multiLevelType w:val="hybridMultilevel"/>
    <w:tmpl w:val="51045B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42940"/>
    <w:multiLevelType w:val="hybridMultilevel"/>
    <w:tmpl w:val="AE1AA188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869E9"/>
    <w:multiLevelType w:val="hybridMultilevel"/>
    <w:tmpl w:val="B824D78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925649"/>
    <w:multiLevelType w:val="hybridMultilevel"/>
    <w:tmpl w:val="EF4A889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B1D07"/>
    <w:multiLevelType w:val="hybridMultilevel"/>
    <w:tmpl w:val="3020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6975"/>
    <w:multiLevelType w:val="hybridMultilevel"/>
    <w:tmpl w:val="DEA4CD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58DB"/>
    <w:multiLevelType w:val="hybridMultilevel"/>
    <w:tmpl w:val="490A6922"/>
    <w:lvl w:ilvl="0" w:tplc="47E215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735382">
    <w:abstractNumId w:val="12"/>
  </w:num>
  <w:num w:numId="2" w16cid:durableId="1295407426">
    <w:abstractNumId w:val="16"/>
  </w:num>
  <w:num w:numId="3" w16cid:durableId="1742482363">
    <w:abstractNumId w:val="6"/>
  </w:num>
  <w:num w:numId="4" w16cid:durableId="419572304">
    <w:abstractNumId w:val="9"/>
  </w:num>
  <w:num w:numId="5" w16cid:durableId="1723939220">
    <w:abstractNumId w:val="11"/>
  </w:num>
  <w:num w:numId="6" w16cid:durableId="1850870393">
    <w:abstractNumId w:val="11"/>
  </w:num>
  <w:num w:numId="7" w16cid:durableId="65210685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2940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2002796">
    <w:abstractNumId w:val="11"/>
  </w:num>
  <w:num w:numId="10" w16cid:durableId="1809471169">
    <w:abstractNumId w:val="13"/>
  </w:num>
  <w:num w:numId="11" w16cid:durableId="104838116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9374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272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99291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091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26101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7114540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639902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9C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BEF"/>
    <w:rsid w:val="0067769C"/>
    <w:rsid w:val="00680AC9"/>
    <w:rsid w:val="006819B2"/>
    <w:rsid w:val="0068226E"/>
    <w:rsid w:val="00684D44"/>
    <w:rsid w:val="006862F5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999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352B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6D1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6D44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8FC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2022-08-08T10:42:00Z</cp:lastPrinted>
  <dcterms:created xsi:type="dcterms:W3CDTF">2022-08-08T10:52:00Z</dcterms:created>
  <dcterms:modified xsi:type="dcterms:W3CDTF">2022-08-08T10:52:00Z</dcterms:modified>
</cp:coreProperties>
</file>