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87A1" w14:textId="77777777" w:rsidR="0076051B" w:rsidRPr="002967A9" w:rsidRDefault="0076051B" w:rsidP="00807551">
      <w:pPr>
        <w:tabs>
          <w:tab w:val="left" w:pos="2340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</w:pPr>
      <w:bookmarkStart w:id="0" w:name="_Hlk92099612"/>
    </w:p>
    <w:p w14:paraId="025F9F8E" w14:textId="16869484" w:rsidR="00807551" w:rsidRPr="00807551" w:rsidRDefault="0076051B" w:rsidP="00807551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MD" w:eastAsia="ru-RU"/>
        </w:rPr>
      </w:pPr>
      <w:r w:rsidRPr="002967A9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  <w:t xml:space="preserve">            </w:t>
      </w:r>
      <w:bookmarkEnd w:id="0"/>
      <w:r w:rsidR="00807551" w:rsidRPr="00537C0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MD" w:eastAsia="ru-RU"/>
        </w:rPr>
        <w:t>CAIET DE SARCINI</w:t>
      </w:r>
    </w:p>
    <w:p w14:paraId="2978ADCE" w14:textId="77777777" w:rsidR="00807551" w:rsidRPr="00537C05" w:rsidRDefault="00807551" w:rsidP="00807551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o-MD" w:eastAsia="ru-RU"/>
        </w:rPr>
      </w:pPr>
    </w:p>
    <w:p w14:paraId="6716ADCC" w14:textId="08304C58" w:rsidR="0076051B" w:rsidRPr="00807551" w:rsidRDefault="00807551" w:rsidP="00807551">
      <w:pPr>
        <w:tabs>
          <w:tab w:val="center" w:pos="5102"/>
          <w:tab w:val="left" w:pos="8202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en-US" w:eastAsia="ru-RU"/>
        </w:rPr>
      </w:pPr>
      <w:r w:rsidRPr="00537C05">
        <w:rPr>
          <w:rFonts w:ascii="Times New Roman" w:eastAsia="Times New Roman" w:hAnsi="Times New Roman" w:cs="Times New Roman"/>
          <w:b/>
          <w:bCs/>
          <w:caps/>
          <w:lang w:val="ro-MD" w:eastAsia="ru-RU"/>
        </w:rPr>
        <w:t xml:space="preserve">LP </w:t>
      </w:r>
      <w:r>
        <w:rPr>
          <w:rFonts w:ascii="Times New Roman" w:eastAsia="Times New Roman" w:hAnsi="Times New Roman" w:cs="Times New Roman"/>
          <w:b/>
          <w:bCs/>
          <w:caps/>
          <w:lang w:val="ro-MD" w:eastAsia="ru-RU"/>
        </w:rPr>
        <w:t>:</w:t>
      </w:r>
      <w:r w:rsidRPr="00E00420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>ocds-b3wdp1-MD-1672315895425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7749"/>
      </w:tblGrid>
      <w:tr w:rsidR="0076051B" w:rsidRPr="00807551" w14:paraId="52BF7024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672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6D5D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Denumirea lucrării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5CA1" w14:textId="7C368784" w:rsidR="0076051B" w:rsidRPr="002967A9" w:rsidRDefault="0076051B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Servicii de proiectare pentru elaborarea proiectului de execuție  pentru reparația drumului R34 Hâncești –Leova-Cahul-Giurgiulești, km 124,835 – 180,600,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lot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="005E72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km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  <w:r w:rsidR="005E72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2,5</w:t>
            </w:r>
            <w:r w:rsidR="005E72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-1</w:t>
            </w:r>
            <w:r w:rsidR="00CA45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="00CA45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0.</w:t>
            </w:r>
          </w:p>
        </w:tc>
      </w:tr>
      <w:tr w:rsidR="0076051B" w:rsidRPr="00807551" w14:paraId="70297B04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0566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840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Temeiul proiectării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B995" w14:textId="77777777" w:rsidR="0076051B" w:rsidRPr="002967A9" w:rsidRDefault="0076051B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Programul lucrărilor de proiectare pentru anul 2022</w:t>
            </w:r>
          </w:p>
        </w:tc>
      </w:tr>
      <w:tr w:rsidR="0076051B" w:rsidRPr="002967A9" w14:paraId="31E47182" w14:textId="77777777" w:rsidTr="00794508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C42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2091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Faza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B68" w14:textId="77777777" w:rsidR="0076051B" w:rsidRPr="002967A9" w:rsidRDefault="0076051B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 de execuție.</w:t>
            </w:r>
          </w:p>
        </w:tc>
      </w:tr>
      <w:tr w:rsidR="0076051B" w:rsidRPr="002967A9" w14:paraId="4E3E6DEE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6211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7D8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Antreprenorul general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1938" w14:textId="77777777" w:rsidR="0076051B" w:rsidRPr="002967A9" w:rsidRDefault="0076051B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548DD4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Câștigătorul licitației publice.</w:t>
            </w:r>
          </w:p>
        </w:tc>
      </w:tr>
      <w:tr w:rsidR="0076051B" w:rsidRPr="00807551" w14:paraId="385A77CD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3594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ABF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Începutul sectorului de reparație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6BE7" w14:textId="083F338B" w:rsidR="0076051B" w:rsidRPr="002967A9" w:rsidRDefault="004E36E5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R34, km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–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ieșirea din s. Văleni,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va preciza prin proiect.</w:t>
            </w:r>
          </w:p>
        </w:tc>
      </w:tr>
      <w:tr w:rsidR="0076051B" w:rsidRPr="00807551" w14:paraId="4F5049CF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91F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EFA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Sfârșitul sectorului de reparație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A6D0" w14:textId="2C00D3E8" w:rsidR="0076051B" w:rsidRPr="002967A9" w:rsidRDefault="0076051B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R34, km 1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80,600-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intersecție cu drumul M3 Chișinău-Comrat-Giurgiulești-frontiera cu România, 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va preciza prin proiect.</w:t>
            </w:r>
          </w:p>
        </w:tc>
      </w:tr>
      <w:tr w:rsidR="0076051B" w:rsidRPr="002967A9" w14:paraId="2A6B278F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8A4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1BE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Lungimea sectorului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3AA9" w14:textId="5A343E76" w:rsidR="0076051B" w:rsidRPr="002967A9" w:rsidRDefault="004E36E5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</w:t>
            </w:r>
            <w:r w:rsidR="007605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440</w:t>
            </w:r>
            <w:r w:rsidR="0076051B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km</w:t>
            </w:r>
            <w:r w:rsidR="007605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  <w:tr w:rsidR="0076051B" w:rsidRPr="00807551" w14:paraId="49D4E071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256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41D5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Necesitatea efectuării studiilor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cercetărilor pe teren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5423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Ridicări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topogeodezice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conform art. 31 al Legii nr. 778 din 27.12.2001, privind geodezia, cartografia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geoinformatică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53CE6854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Cercetări geologice, conform NCM L.02.12-2:2018 „Indicator de prețuri de referință pentru lucrări de prospecțiuni geologice”.</w:t>
            </w:r>
          </w:p>
          <w:p w14:paraId="30853F66" w14:textId="77777777" w:rsidR="0076051B" w:rsidRPr="002967A9" w:rsidRDefault="0076051B" w:rsidP="00794508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08" w:hanging="283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Prospecțiuni hidrometeorologice</w:t>
            </w:r>
            <w:r w:rsidRPr="002967A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  <w:p w14:paraId="02DE0094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Examinarea tehnică a sistemului rutier existent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construcțiilor inginerești.</w:t>
            </w:r>
          </w:p>
          <w:p w14:paraId="19C8DD0C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Examinarea lucrărilor de artă existente și  efectuarea expertizei tehnice a podurilor. </w:t>
            </w:r>
          </w:p>
        </w:tc>
      </w:tr>
      <w:tr w:rsidR="0076051B" w:rsidRPr="00807551" w14:paraId="76760545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9AF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FEC1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 xml:space="preserve">Parametrii tehnici de bază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0415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drumului conform: NCM D.02.01:2015 „Proiectarea Drumurilor Publice”, CP_D.02.11-2014 „Recomandări privind proiectarea străzilor drumurilor din localități urbane și rurale”. </w:t>
            </w:r>
          </w:p>
          <w:p w14:paraId="36078EE5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Categoria tehnică a drumului se determină după NCM D.02.01:2015 conform studiului intensității traficului rutier; </w:t>
            </w:r>
          </w:p>
          <w:p w14:paraId="5B01A4EE" w14:textId="7292EDB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Tipul îmbrăcămintei rutiere – beton asfaltic (sarcina pe osie pentru calculul sistemului rutier – 1</w:t>
            </w:r>
            <w:r w:rsidR="00880C2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kN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);</w:t>
            </w:r>
          </w:p>
          <w:p w14:paraId="69213213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hidrologice – conform CP D.01.05-2012 „Determinarea caracteristicilor hidrologice pentru condițiile Republicii Moldova”. </w:t>
            </w:r>
          </w:p>
          <w:p w14:paraId="398AE728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Măsuri contra alunecărilor de teren conform: NCM A.06.01.2006 „Protecția tehnică a teritoriului, clădirilor și construcțiilor contra proceselor geologice periculoase. Date generale”;</w:t>
            </w:r>
          </w:p>
          <w:p w14:paraId="20D2C4B9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Geotextile</w:t>
            </w:r>
            <w:proofErr w:type="spellEnd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utilizarea la drumuri SM SR EN 15381:2010 „</w:t>
            </w:r>
            <w:proofErr w:type="spellStart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Geotextile</w:t>
            </w:r>
            <w:proofErr w:type="spellEnd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produse înrudite. Caracteristici impuse pentru utilizarea la lucrări de drumuri </w:t>
            </w:r>
            <w:proofErr w:type="spellStart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straturi de uzură asfaltice”; </w:t>
            </w:r>
          </w:p>
          <w:p w14:paraId="50D1A2DB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Accesoriile drumului, siguranța rutieră – Conform NCM D.02.01:2015, CP D.02.10-2016, altor standarde în vigoare.</w:t>
            </w:r>
          </w:p>
          <w:p w14:paraId="15618780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Lucrări de artă - Conform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СНиП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2.05.03-84 „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Мосты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трубы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; </w:t>
            </w:r>
          </w:p>
          <w:p w14:paraId="5997E81B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Durata de viață normată proiectată, conform EN 1990:2004;</w:t>
            </w:r>
          </w:p>
          <w:p w14:paraId="33B02CE6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Acțiuni variabile din trafic, conform EN 1992-2:2005;</w:t>
            </w:r>
          </w:p>
          <w:p w14:paraId="08B74C46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Seismicitatea zonei - 8 grade pe scara MSK-64;</w:t>
            </w:r>
          </w:p>
          <w:p w14:paraId="7AF5CF4D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Tipul îmbrăcămintei rutiere pe calea podurilor – beton asfaltic;</w:t>
            </w:r>
          </w:p>
          <w:p w14:paraId="431EADD1" w14:textId="078EA48F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Parapeții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de siguranță și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parapeții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pietonali </w:t>
            </w:r>
            <w:r w:rsidR="0063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la lucrări de artă </w:t>
            </w: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vor fi protejați cu straturi de zinc și fixați prin buloane (excluderea sudurii); </w:t>
            </w:r>
          </w:p>
          <w:p w14:paraId="0AFEF3AF" w14:textId="60EB1A84" w:rsidR="0076051B" w:rsidRPr="002967A9" w:rsidRDefault="00635A04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G</w:t>
            </w:r>
            <w:r w:rsidR="0076051B"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abarit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ul</w:t>
            </w:r>
            <w:r w:rsidR="0076051B"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de liberă trecere la nivelul căii podurilor, conform NCM D.02.01:2015;</w:t>
            </w:r>
          </w:p>
          <w:p w14:paraId="71D7425C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Măsuri privind protecția anticorozivă a construcțiilor, NCM E.04.04:2016;</w:t>
            </w:r>
          </w:p>
          <w:p w14:paraId="6A19AFB1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Proiectarea podurilor în zone seismice – CP D.02.05:2017, și altor standarde în vigoare.</w:t>
            </w:r>
          </w:p>
        </w:tc>
      </w:tr>
      <w:tr w:rsidR="0076051B" w:rsidRPr="00807551" w14:paraId="3E058733" w14:textId="77777777" w:rsidTr="00794508">
        <w:trPr>
          <w:trHeight w:val="3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E74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21AE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Cerințe suplimentare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41B2" w14:textId="77777777" w:rsidR="00FE69EA" w:rsidRPr="00FE69EA" w:rsidRDefault="0076051B" w:rsidP="00817E8E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Conform NCM D.02.01:2015 și CP D 02.10:2016 de prevăzut iluminarea stradală în localitățile </w:t>
            </w:r>
            <w:r w:rsidR="00BF615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Slobozia Mare, Câșlița Prut și Giurgiulești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013EEC60" w14:textId="7D097E24" w:rsidR="0076051B" w:rsidRPr="00FE69EA" w:rsidRDefault="00FE69EA" w:rsidP="00817E8E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E69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Proiectantul va aviza </w:t>
            </w:r>
            <w:r w:rsidRPr="00F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documentația de proiect actualizată cu arhitectul-șef al raionului conform prevederilor art.5 al </w:t>
            </w:r>
            <w:r w:rsidRPr="00FE69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nr.163, din 09.07.2010 ”Privind autorizarea executării lucrărilor de construcții”</w:t>
            </w:r>
            <w:r w:rsidR="0076051B" w:rsidRPr="00FE69E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65FEE262" w14:textId="304114A0" w:rsidR="0076051B" w:rsidRDefault="0076051B" w:rsidP="00817E8E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Proiectarea se va face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 coordonatele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Mold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Ref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99</w:t>
            </w:r>
          </w:p>
          <w:p w14:paraId="4BC11245" w14:textId="6043AF23" w:rsidR="00AC4BE4" w:rsidRPr="00AC4BE4" w:rsidRDefault="00AC4BE4" w:rsidP="00817E8E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C4BE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Proiectantul va propune soluții de încadrare a transportului alternativ (piste de cicliști);</w:t>
            </w:r>
          </w:p>
          <w:p w14:paraId="7E3FBCB0" w14:textId="77777777" w:rsidR="0076051B" w:rsidRPr="002967A9" w:rsidRDefault="0076051B" w:rsidP="00817E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elabora lista cantităților materialului demolat și decapat cu stipularea transmiterii ulterioare către beneficiar.</w:t>
            </w:r>
          </w:p>
          <w:p w14:paraId="6E36B79A" w14:textId="01BF9496" w:rsidR="0076051B" w:rsidRDefault="0076051B" w:rsidP="00817E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elabora borderoul de măsurări al grosimilor îmbrăcămintei rutiere existente, peste fiecare 100 m.</w:t>
            </w:r>
          </w:p>
          <w:p w14:paraId="692DCE4B" w14:textId="77777777" w:rsidR="00DB662C" w:rsidRPr="00DB662C" w:rsidRDefault="00DB662C" w:rsidP="00817E8E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66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Proiectantul va propune soluții de asigurare a accesului persoanelor cu dizabilități, confort prevederilor art. 18 și 19 al Legii nr. 60 din 30.03.2012 privind incluziunea socială a persoanelor cu dizabilități;</w:t>
            </w:r>
          </w:p>
          <w:p w14:paraId="2DB3F21F" w14:textId="1D500D15" w:rsidR="00DB662C" w:rsidRPr="00DB662C" w:rsidRDefault="00DB662C" w:rsidP="00817E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DB66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Proiectantul va elabora proiectul de execuție conform prevederilor Standardelor Europene puse în aplicare din 01.01.2021</w:t>
            </w:r>
          </w:p>
          <w:p w14:paraId="46C9927C" w14:textId="42A35B5A" w:rsidR="0076051B" w:rsidRPr="002967A9" w:rsidRDefault="00635A04" w:rsidP="00817E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lua în considerare propunerile înaintate de către autoritățile publice locale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care vor fi întocmite </w:t>
            </w:r>
            <w:r w:rsidRP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pe baza măsurătorilor efectuate la fața loculu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i, </w:t>
            </w:r>
            <w:r w:rsidRP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discutate cu beneficiarul și acceptate după argumentările corespunzătoare.</w:t>
            </w:r>
            <w:r w:rsidR="0076051B" w:rsidRPr="002967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76051B" w:rsidRPr="00807551" w14:paraId="161F3B28" w14:textId="77777777" w:rsidTr="00794508">
        <w:trPr>
          <w:trHeight w:val="4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56F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0F38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Condiții specifice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0493" w14:textId="07709C6D" w:rsidR="0076051B" w:rsidRPr="00817E8E" w:rsidRDefault="0076051B" w:rsidP="00817E8E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elabora soluții pentru reparația podurilor amplasate la km </w:t>
            </w:r>
            <w:r w:rsidR="004B3287"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170,150</w:t>
            </w:r>
            <w:r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km 1</w:t>
            </w:r>
            <w:r w:rsidR="004B3287"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73,720</w:t>
            </w:r>
            <w:r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și km 1</w:t>
            </w:r>
            <w:r w:rsidR="004B3287"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79,450</w:t>
            </w:r>
            <w:r w:rsidRPr="00817E8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1ECC5E29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Proiectantul va prezenta spre aprobare către beneficiar, conceptul soluțiilor de proiect pentru care s-a optat, precum și argumentarea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-economică. </w:t>
            </w:r>
          </w:p>
          <w:p w14:paraId="21450DCF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Drumul proiectat va respecta traseul și ampriza existentă, fără a depăși limitele proprietăților.</w:t>
            </w:r>
          </w:p>
          <w:p w14:paraId="712F798A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elabora proiectul de execuție conform prevederilor Standardelor Europene, puse în aplicare din 01.01.2021.</w:t>
            </w:r>
          </w:p>
          <w:p w14:paraId="45569DF1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elabora compartimentul „Protecția mediului”. Componența și conținutul compartimentului  în documentația de proiect se va elabora conform NCM A.07.06:2016. </w:t>
            </w:r>
          </w:p>
          <w:p w14:paraId="26F5F54D" w14:textId="7B2FAE72" w:rsidR="0076051B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aviza documentația de proiect cu arhitectul-șef al raionului conform prevederilor art.5 al Legii nr.163, din 09.07.2010 ”Privind autorizarea executării lucrărilor de construcții”.</w:t>
            </w:r>
          </w:p>
          <w:p w14:paraId="6F44386F" w14:textId="3B4CE995" w:rsidR="00817E8E" w:rsidRPr="00817E8E" w:rsidRDefault="00817E8E" w:rsidP="00817E8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 privind plantațiile rutiere (</w:t>
            </w:r>
            <w:r w:rsidRPr="0079419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plantare, 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replantare, defrișări,</w:t>
            </w:r>
            <w:r w:rsidRPr="0079419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etc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 – după caz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14:paraId="44D06124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elabora caietul de sarcini conform cerințelor licitațiilor internaționale.</w:t>
            </w:r>
          </w:p>
          <w:p w14:paraId="092B7793" w14:textId="6756B611" w:rsidR="0076051B" w:rsidRPr="00E343C9" w:rsidRDefault="00635A04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a</w:t>
            </w:r>
            <w:r w:rsidR="0076051B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naliza posibili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tatea</w:t>
            </w:r>
            <w:r w:rsidR="0076051B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utilizării structurilor </w:t>
            </w:r>
            <w:proofErr w:type="spellStart"/>
            <w:r w:rsidR="0076051B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corugate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0BEFEBDB" w14:textId="2C27E903" w:rsidR="00E343C9" w:rsidRPr="00E343C9" w:rsidRDefault="00E343C9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343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Proiectantul va propune soluții de încadrare a transportului alternativ (piste de cicliști)</w:t>
            </w:r>
            <w:r w:rsidR="00635A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2D659BA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necesitate, proiectantul va elabora proiect pentru extragerea rocilor sedimentare și a celor neconsolidate.</w:t>
            </w:r>
          </w:p>
          <w:p w14:paraId="643D136D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se va conduce de normele și legislația în vigoare.</w:t>
            </w:r>
          </w:p>
        </w:tc>
      </w:tr>
      <w:tr w:rsidR="0076051B" w:rsidRPr="00807551" w14:paraId="166A90FE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18FD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893D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Date inițiale la tema de proiectare, avize, acorduri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AF25" w14:textId="77777777" w:rsidR="0076051B" w:rsidRPr="002967A9" w:rsidRDefault="0076051B" w:rsidP="0079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Beneficiarul va obține cu susținerea Proiectantului: </w:t>
            </w:r>
          </w:p>
          <w:p w14:paraId="6798EAF1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Certificatul de urbanism;</w:t>
            </w:r>
          </w:p>
          <w:p w14:paraId="707A0AD8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Avizul autorităților administrației publice locale și organelor de stat de supraveghere;</w:t>
            </w:r>
          </w:p>
          <w:p w14:paraId="14FF04DF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La necesitate, condiții tehnice pentru reamplasarea rețelelor inginerești (utilitare).</w:t>
            </w:r>
          </w:p>
        </w:tc>
      </w:tr>
      <w:tr w:rsidR="0076051B" w:rsidRPr="002967A9" w14:paraId="50D3D25A" w14:textId="77777777" w:rsidTr="00794508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9AC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35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Conținutul proiectului de execuție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7BFC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3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0FD55E5F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Memoriu explicativ general;</w:t>
            </w:r>
          </w:p>
          <w:p w14:paraId="0792249A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Desene pe compartimente;</w:t>
            </w:r>
          </w:p>
          <w:p w14:paraId="0C92E35E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Liste de cantități pe compartimente;</w:t>
            </w:r>
          </w:p>
          <w:p w14:paraId="7A294232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Specificația tehnică;</w:t>
            </w:r>
          </w:p>
          <w:p w14:paraId="1BDD6915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Bill of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Quantities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18151A48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Argumentarea </w:t>
            </w:r>
            <w:proofErr w:type="spellStart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</w:t>
            </w:r>
            <w:proofErr w:type="spellEnd"/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-economică a investițiilor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14:paraId="7C9DF2DA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Compartiment „Organizarea lucrărilor de construcție”;</w:t>
            </w:r>
          </w:p>
          <w:p w14:paraId="527A85F6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Documentații tehnice necesare inițierii procedurilor de achiziție publică: Caiet de sarcini.</w:t>
            </w:r>
          </w:p>
          <w:p w14:paraId="41721671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Cartea tehnică.</w:t>
            </w:r>
          </w:p>
        </w:tc>
      </w:tr>
      <w:tr w:rsidR="0076051B" w:rsidRPr="00807551" w14:paraId="76E0224B" w14:textId="77777777" w:rsidTr="00794508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6B6" w14:textId="77777777" w:rsidR="0076051B" w:rsidRPr="002967A9" w:rsidRDefault="0076051B" w:rsidP="007945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329" w14:textId="77777777" w:rsidR="0076051B" w:rsidRPr="002967A9" w:rsidRDefault="0076051B" w:rsidP="0079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exemplarelor de documentație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2D13" w14:textId="77777777" w:rsidR="0076051B" w:rsidRPr="002967A9" w:rsidRDefault="0076051B" w:rsidP="00794508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 volum de 3 exemplare în limba română și un exemplar în limba engleză + varianta electronică editabilă (limba română și limba engleză).</w:t>
            </w:r>
          </w:p>
        </w:tc>
      </w:tr>
    </w:tbl>
    <w:p w14:paraId="45D31A5F" w14:textId="77777777" w:rsidR="00807551" w:rsidRPr="00CF2F0C" w:rsidRDefault="00807551" w:rsidP="0080755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depunerea ofertei:</w:t>
      </w:r>
    </w:p>
    <w:p w14:paraId="4EA77984" w14:textId="77777777" w:rsidR="00807551" w:rsidRPr="00CF2F0C" w:rsidRDefault="00807551" w:rsidP="00807551">
      <w:pPr>
        <w:pStyle w:val="a8"/>
        <w:rPr>
          <w:lang w:val="ro-MD"/>
        </w:rPr>
      </w:pPr>
      <w:bookmarkStart w:id="1" w:name="_Toc449630846"/>
      <w:bookmarkStart w:id="2" w:name="_Toc449632599"/>
      <w:bookmarkStart w:id="3" w:name="_Toc449633091"/>
      <w:bookmarkStart w:id="4" w:name="_Toc449692047"/>
      <w:r w:rsidRPr="00CF2F0C">
        <w:rPr>
          <w:lang w:val="ro-MD"/>
        </w:rPr>
        <w:t>1) Propunerea tehnică;</w:t>
      </w:r>
      <w:bookmarkEnd w:id="1"/>
      <w:bookmarkEnd w:id="2"/>
      <w:bookmarkEnd w:id="3"/>
      <w:bookmarkEnd w:id="4"/>
    </w:p>
    <w:p w14:paraId="09ED8FFA" w14:textId="77777777" w:rsidR="00807551" w:rsidRPr="00CF2F0C" w:rsidRDefault="00807551" w:rsidP="00807551">
      <w:pPr>
        <w:pStyle w:val="a8"/>
        <w:rPr>
          <w:lang w:val="ro-MD"/>
        </w:rPr>
      </w:pPr>
      <w:r w:rsidRPr="00CF2F0C">
        <w:rPr>
          <w:lang w:val="ro-MD"/>
        </w:rPr>
        <w:t>2) Propunerea financiară;</w:t>
      </w:r>
    </w:p>
    <w:p w14:paraId="79B9272F" w14:textId="77777777" w:rsidR="00807551" w:rsidRPr="00CF2F0C" w:rsidRDefault="00807551" w:rsidP="00807551">
      <w:pPr>
        <w:pStyle w:val="a8"/>
        <w:ind w:right="-613"/>
        <w:rPr>
          <w:lang w:val="ro-MD"/>
        </w:rPr>
      </w:pPr>
      <w:r w:rsidRPr="00CF2F0C">
        <w:rPr>
          <w:lang w:val="ro-MD"/>
        </w:rPr>
        <w:t>3) DUAE;</w:t>
      </w:r>
    </w:p>
    <w:p w14:paraId="4F212D36" w14:textId="77777777" w:rsidR="00807551" w:rsidRPr="00CF2F0C" w:rsidRDefault="00807551" w:rsidP="00807551">
      <w:pPr>
        <w:pStyle w:val="a8"/>
        <w:rPr>
          <w:lang w:val="ro-MD"/>
        </w:rPr>
      </w:pPr>
      <w:r w:rsidRPr="00CF2F0C">
        <w:rPr>
          <w:lang w:val="ro-MD"/>
        </w:rPr>
        <w:t>4) Garanția pentru ofertă;</w:t>
      </w:r>
    </w:p>
    <w:p w14:paraId="46D04343" w14:textId="77777777" w:rsidR="00807551" w:rsidRPr="008A0C9D" w:rsidRDefault="00807551" w:rsidP="00807551">
      <w:pPr>
        <w:pStyle w:val="a7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>5) Cerere de participare (anexa nr. 7);</w:t>
      </w:r>
    </w:p>
    <w:p w14:paraId="3EB14897" w14:textId="77777777" w:rsidR="00807551" w:rsidRPr="00CF2F0C" w:rsidRDefault="00807551" w:rsidP="0080755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evaluarea ofertelor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323AAE3C" w14:textId="77777777" w:rsidR="00807551" w:rsidRPr="00CF2F0C" w:rsidRDefault="00807551" w:rsidP="0080755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03B046C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Declaraţie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privind valabilitatea ofertei (anexa nr. 8);</w:t>
      </w:r>
    </w:p>
    <w:p w14:paraId="432567CB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>Grafic de executare a documentației de proiect (anexa nr. 11.);</w:t>
      </w:r>
    </w:p>
    <w:p w14:paraId="0D0BB84E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Declarație privind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experienţa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similară (anexa nr. 12)/</w:t>
      </w:r>
    </w:p>
    <w:p w14:paraId="15AA4ED9" w14:textId="77777777" w:rsidR="00807551" w:rsidRPr="00CF2F0C" w:rsidRDefault="00807551" w:rsidP="00807551">
      <w:pPr>
        <w:pStyle w:val="a7"/>
        <w:tabs>
          <w:tab w:val="left" w:pos="-284"/>
          <w:tab w:val="left" w:pos="426"/>
        </w:tabs>
        <w:ind w:left="0" w:right="-613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      Declarație privind lista principalelor lucrări executate în ultimul an de activitate (anexa nr. 13);</w:t>
      </w:r>
    </w:p>
    <w:p w14:paraId="419F8B63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Declaraţie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privind dotările specifice, utilajul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echipamentul necesar pentru îndeplinirea corespunzătoare a contractului (anexa nr. 14);</w:t>
      </w:r>
    </w:p>
    <w:p w14:paraId="20B3236B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Declaraţie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privind personalul de specialitate propus pentru implementarea contractului (anexa nr. 15);</w:t>
      </w:r>
    </w:p>
    <w:p w14:paraId="13627A2B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Lista subcontractanților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partea/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părţile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din contract care sunt îndeplinite de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aceştia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(anexa nr. 16)-după caz;</w:t>
      </w:r>
    </w:p>
    <w:p w14:paraId="43F5833C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Informaţii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privind asocierea (anexa nr. 17) -după caz;</w:t>
      </w:r>
    </w:p>
    <w:p w14:paraId="3CB876CE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Angajament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terţ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susţinător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financiar (anexa nr. 18) -după caz;</w:t>
      </w:r>
    </w:p>
    <w:p w14:paraId="0BB286CB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Angajament privind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susţinerea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tehnică și profesională a ofertantului/grupului de operatori economici (anexa nr. 19) -după caz;</w:t>
      </w:r>
    </w:p>
    <w:p w14:paraId="5AE9D7EF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Declaraţie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terţ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susţinător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tehnic (anexa nr. 20) -după caz;</w:t>
      </w:r>
    </w:p>
    <w:p w14:paraId="580DE2E2" w14:textId="77777777" w:rsidR="00807551" w:rsidRPr="00CF2F0C" w:rsidRDefault="00807551" w:rsidP="00807551">
      <w:pPr>
        <w:pStyle w:val="a7"/>
        <w:numPr>
          <w:ilvl w:val="0"/>
          <w:numId w:val="6"/>
        </w:numPr>
        <w:tabs>
          <w:tab w:val="left" w:pos="-284"/>
          <w:tab w:val="left" w:pos="426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Declaraţie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terţ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CF2F0C">
        <w:rPr>
          <w:rFonts w:ascii="Times New Roman" w:hAnsi="Times New Roman" w:cs="Times New Roman"/>
          <w:sz w:val="24"/>
          <w:szCs w:val="24"/>
          <w:lang w:val="ro-MD"/>
        </w:rPr>
        <w:t>susţinător</w:t>
      </w:r>
      <w:proofErr w:type="spellEnd"/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profesional (anexa nr. 21) -după caz;</w:t>
      </w:r>
    </w:p>
    <w:p w14:paraId="6EAE92B5" w14:textId="77777777" w:rsidR="00807551" w:rsidRPr="00CF2F0C" w:rsidRDefault="00807551" w:rsidP="00807551">
      <w:pPr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A3F1700" w14:textId="77777777" w:rsidR="00807551" w:rsidRPr="008F545B" w:rsidRDefault="00807551" w:rsidP="0080755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Autoritatea contractantă 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 ___________              </w:t>
      </w:r>
      <w:r w:rsidRPr="00CF2F0C">
        <w:rPr>
          <w:rFonts w:ascii="Times New Roman" w:hAnsi="Times New Roman" w:cs="Times New Roman"/>
          <w:bCs/>
          <w:sz w:val="24"/>
          <w:szCs w:val="24"/>
          <w:lang w:val="ro-MD"/>
        </w:rPr>
        <w:t>Data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"____"__________________</w:t>
      </w:r>
    </w:p>
    <w:p w14:paraId="0F9082C5" w14:textId="77777777" w:rsidR="0076051B" w:rsidRPr="002967A9" w:rsidRDefault="0076051B" w:rsidP="0076051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D" w:eastAsia="ru-RU"/>
        </w:rPr>
      </w:pPr>
    </w:p>
    <w:p w14:paraId="35F58C38" w14:textId="77777777" w:rsidR="0076051B" w:rsidRPr="002967A9" w:rsidRDefault="0076051B" w:rsidP="0076051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D" w:eastAsia="ru-RU"/>
        </w:rPr>
      </w:pPr>
    </w:p>
    <w:p w14:paraId="28111337" w14:textId="77777777" w:rsidR="0076051B" w:rsidRPr="002967A9" w:rsidRDefault="0076051B" w:rsidP="0076051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D" w:eastAsia="ru-RU"/>
        </w:rPr>
      </w:pPr>
    </w:p>
    <w:p w14:paraId="4C4F0578" w14:textId="77777777" w:rsidR="004D2D77" w:rsidRPr="0076051B" w:rsidRDefault="004D2D77">
      <w:pPr>
        <w:rPr>
          <w:lang w:val="en-US"/>
        </w:rPr>
      </w:pPr>
    </w:p>
    <w:sectPr w:rsidR="004D2D77" w:rsidRPr="0076051B" w:rsidSect="00807551">
      <w:footerReference w:type="default" r:id="rId7"/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C398" w14:textId="77777777" w:rsidR="00E40226" w:rsidRDefault="004B3287">
      <w:pPr>
        <w:spacing w:after="0" w:line="240" w:lineRule="auto"/>
      </w:pPr>
      <w:r>
        <w:separator/>
      </w:r>
    </w:p>
  </w:endnote>
  <w:endnote w:type="continuationSeparator" w:id="0">
    <w:p w14:paraId="03BB3BAD" w14:textId="77777777" w:rsidR="00E40226" w:rsidRDefault="004B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692162"/>
      <w:docPartObj>
        <w:docPartGallery w:val="Page Numbers (Bottom of Page)"/>
        <w:docPartUnique/>
      </w:docPartObj>
    </w:sdtPr>
    <w:sdtEndPr/>
    <w:sdtContent>
      <w:p w14:paraId="52A5F878" w14:textId="018E09C9" w:rsidR="00B84322" w:rsidRDefault="00807551">
        <w:pPr>
          <w:pStyle w:val="a3"/>
          <w:jc w:val="right"/>
          <w:rPr>
            <w:lang w:val="en-US"/>
          </w:rPr>
        </w:pPr>
      </w:p>
      <w:p w14:paraId="443A026A" w14:textId="77777777" w:rsidR="00B84322" w:rsidRDefault="00807551">
        <w:pPr>
          <w:pStyle w:val="a3"/>
          <w:jc w:val="right"/>
        </w:pPr>
      </w:p>
    </w:sdtContent>
  </w:sdt>
  <w:p w14:paraId="007B68CA" w14:textId="77777777" w:rsidR="00B84322" w:rsidRDefault="008075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2231" w14:textId="77777777" w:rsidR="00E40226" w:rsidRDefault="004B3287">
      <w:pPr>
        <w:spacing w:after="0" w:line="240" w:lineRule="auto"/>
      </w:pPr>
      <w:r>
        <w:separator/>
      </w:r>
    </w:p>
  </w:footnote>
  <w:footnote w:type="continuationSeparator" w:id="0">
    <w:p w14:paraId="79458495" w14:textId="77777777" w:rsidR="00E40226" w:rsidRDefault="004B3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031A1C"/>
    <w:multiLevelType w:val="hybridMultilevel"/>
    <w:tmpl w:val="9ACC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B6266"/>
    <w:multiLevelType w:val="hybridMultilevel"/>
    <w:tmpl w:val="F0E424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993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814304">
    <w:abstractNumId w:val="3"/>
  </w:num>
  <w:num w:numId="3" w16cid:durableId="1569150448">
    <w:abstractNumId w:val="4"/>
  </w:num>
  <w:num w:numId="4" w16cid:durableId="1738896320">
    <w:abstractNumId w:val="1"/>
  </w:num>
  <w:num w:numId="5" w16cid:durableId="1088186145">
    <w:abstractNumId w:val="2"/>
  </w:num>
  <w:num w:numId="6" w16cid:durableId="1525510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9B"/>
    <w:rsid w:val="004B3287"/>
    <w:rsid w:val="004D2D77"/>
    <w:rsid w:val="004E36E5"/>
    <w:rsid w:val="005E72FE"/>
    <w:rsid w:val="00635A04"/>
    <w:rsid w:val="00682943"/>
    <w:rsid w:val="007122E2"/>
    <w:rsid w:val="00722C44"/>
    <w:rsid w:val="0076051B"/>
    <w:rsid w:val="007E5E69"/>
    <w:rsid w:val="00807551"/>
    <w:rsid w:val="00817E8E"/>
    <w:rsid w:val="00880C24"/>
    <w:rsid w:val="0091069B"/>
    <w:rsid w:val="00A06138"/>
    <w:rsid w:val="00AC4BE4"/>
    <w:rsid w:val="00BF6155"/>
    <w:rsid w:val="00CA450D"/>
    <w:rsid w:val="00D009E6"/>
    <w:rsid w:val="00DB662C"/>
    <w:rsid w:val="00E343C9"/>
    <w:rsid w:val="00E40226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C0F1"/>
  <w15:chartTrackingRefBased/>
  <w15:docId w15:val="{9159DF4A-1571-4DF1-9B5F-1024BE90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051B"/>
  </w:style>
  <w:style w:type="paragraph" w:styleId="a5">
    <w:name w:val="header"/>
    <w:basedOn w:val="a"/>
    <w:link w:val="a6"/>
    <w:uiPriority w:val="99"/>
    <w:unhideWhenUsed/>
    <w:rsid w:val="007E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E69"/>
  </w:style>
  <w:style w:type="paragraph" w:styleId="a7">
    <w:name w:val="List Paragraph"/>
    <w:aliases w:val="HotarirePunct1"/>
    <w:basedOn w:val="a"/>
    <w:uiPriority w:val="34"/>
    <w:qFormat/>
    <w:rsid w:val="00817E8E"/>
    <w:pPr>
      <w:ind w:left="720"/>
      <w:contextualSpacing/>
    </w:pPr>
  </w:style>
  <w:style w:type="paragraph" w:styleId="a8">
    <w:name w:val="No Spacing"/>
    <w:uiPriority w:val="1"/>
    <w:qFormat/>
    <w:rsid w:val="008075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Natalia Turcan</cp:lastModifiedBy>
  <cp:revision>2</cp:revision>
  <dcterms:created xsi:type="dcterms:W3CDTF">2022-12-29T12:17:00Z</dcterms:created>
  <dcterms:modified xsi:type="dcterms:W3CDTF">2022-12-29T12:17:00Z</dcterms:modified>
</cp:coreProperties>
</file>