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838C" w14:textId="7774D160" w:rsidR="00FB708D" w:rsidRPr="00FB708D" w:rsidRDefault="00FB708D" w:rsidP="00FB708D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bookmarkStart w:id="0" w:name="_Hlk92099612"/>
      <w:bookmarkStart w:id="1" w:name="_Hlk146110014"/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 </w:t>
      </w:r>
      <w:proofErr w:type="spellStart"/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>Aprobat</w:t>
      </w:r>
      <w:proofErr w:type="spellEnd"/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>:</w:t>
      </w:r>
    </w:p>
    <w:p w14:paraId="29E86A5A" w14:textId="498D3C36" w:rsidR="00FB708D" w:rsidRPr="00FB708D" w:rsidRDefault="00FB708D" w:rsidP="00FB708D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  <w:lang w:val="en-US"/>
        </w:rPr>
      </w:pPr>
      <w:r w:rsidRPr="00FB708D">
        <w:rPr>
          <w:rFonts w:ascii="Times New Roman" w:hAnsi="Times New Roman" w:cs="Times New Roman"/>
          <w:sz w:val="25"/>
          <w:szCs w:val="25"/>
          <w:lang w:val="en-US"/>
        </w:rPr>
        <w:t xml:space="preserve">Director </w:t>
      </w:r>
      <w:r w:rsidR="00BB2A10">
        <w:rPr>
          <w:rFonts w:ascii="Times New Roman" w:hAnsi="Times New Roman" w:cs="Times New Roman"/>
          <w:sz w:val="25"/>
          <w:szCs w:val="25"/>
          <w:lang w:val="en-US"/>
        </w:rPr>
        <w:t xml:space="preserve">general </w:t>
      </w:r>
      <w:proofErr w:type="spellStart"/>
      <w:r w:rsidR="00BB2A10">
        <w:rPr>
          <w:rFonts w:ascii="Times New Roman" w:hAnsi="Times New Roman" w:cs="Times New Roman"/>
          <w:sz w:val="25"/>
          <w:szCs w:val="25"/>
          <w:lang w:val="en-US"/>
        </w:rPr>
        <w:t>interimar</w:t>
      </w:r>
      <w:proofErr w:type="spellEnd"/>
    </w:p>
    <w:p w14:paraId="5444C607" w14:textId="77777777" w:rsidR="00FB708D" w:rsidRPr="00FB708D" w:rsidRDefault="00FB708D" w:rsidP="00FB708D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  <w:lang w:val="en-US"/>
        </w:rPr>
      </w:pPr>
      <w:r w:rsidRPr="00FB708D">
        <w:rPr>
          <w:rFonts w:ascii="Times New Roman" w:hAnsi="Times New Roman" w:cs="Times New Roman"/>
          <w:sz w:val="25"/>
          <w:szCs w:val="25"/>
          <w:lang w:val="en-US"/>
        </w:rPr>
        <w:t>al Î.S. “</w:t>
      </w:r>
      <w:r w:rsidRPr="00FB708D">
        <w:rPr>
          <w:rFonts w:ascii="Times New Roman" w:hAnsi="Times New Roman" w:cs="Times New Roman"/>
          <w:sz w:val="25"/>
          <w:szCs w:val="25"/>
          <w:lang w:val="ro-MD"/>
        </w:rPr>
        <w:t>Administrația de Stat a Drumurilor</w:t>
      </w:r>
      <w:r w:rsidRPr="00FB708D">
        <w:rPr>
          <w:rFonts w:ascii="Times New Roman" w:hAnsi="Times New Roman" w:cs="Times New Roman"/>
          <w:sz w:val="25"/>
          <w:szCs w:val="25"/>
          <w:lang w:val="en-US"/>
        </w:rPr>
        <w:t>”</w:t>
      </w:r>
    </w:p>
    <w:p w14:paraId="6D6DD162" w14:textId="1481D6C5" w:rsidR="00FB708D" w:rsidRDefault="00FB708D" w:rsidP="00FB708D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    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 </w:t>
      </w:r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   </w:t>
      </w:r>
      <w:r w:rsidR="00BB2A10">
        <w:rPr>
          <w:rFonts w:ascii="Times New Roman" w:hAnsi="Times New Roman" w:cs="Times New Roman"/>
          <w:b/>
          <w:bCs/>
          <w:sz w:val="25"/>
          <w:szCs w:val="25"/>
          <w:lang w:val="en-US"/>
        </w:rPr>
        <w:t>Sergiu BEJAN</w:t>
      </w:r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__________</w:t>
      </w:r>
      <w:r w:rsidR="00BB2A10">
        <w:rPr>
          <w:rFonts w:ascii="Times New Roman" w:hAnsi="Times New Roman" w:cs="Times New Roman"/>
          <w:b/>
          <w:bCs/>
          <w:sz w:val="25"/>
          <w:szCs w:val="25"/>
          <w:lang w:val="en-US"/>
        </w:rPr>
        <w:t>___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>_</w:t>
      </w:r>
      <w:r w:rsidRPr="00FB708D">
        <w:rPr>
          <w:rFonts w:ascii="Times New Roman" w:hAnsi="Times New Roman" w:cs="Times New Roman"/>
          <w:b/>
          <w:bCs/>
          <w:sz w:val="25"/>
          <w:szCs w:val="25"/>
          <w:lang w:val="en-US"/>
        </w:rPr>
        <w:t>________</w:t>
      </w:r>
    </w:p>
    <w:p w14:paraId="4F24505F" w14:textId="77777777" w:rsidR="00FB708D" w:rsidRPr="00FB708D" w:rsidRDefault="00FB708D" w:rsidP="00FB708D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14:paraId="1B5BEE27" w14:textId="78BC7F37" w:rsidR="003656AA" w:rsidRPr="002263CF" w:rsidRDefault="00174FC5" w:rsidP="002263C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                                                                                                   </w:t>
      </w:r>
      <w:r w:rsidR="00FB708D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                </w:t>
      </w:r>
      <w:r w:rsidR="000473D9" w:rsidRPr="000473D9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„____„ ______________ 202</w:t>
      </w:r>
      <w:bookmarkEnd w:id="0"/>
      <w:r w:rsidR="000473D9" w:rsidRPr="000473D9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3</w:t>
      </w:r>
      <w:bookmarkEnd w:id="1"/>
    </w:p>
    <w:p w14:paraId="1A18F852" w14:textId="77777777" w:rsidR="003656AA" w:rsidRPr="000473D9" w:rsidRDefault="003656AA" w:rsidP="00FB708D">
      <w:pPr>
        <w:tabs>
          <w:tab w:val="center" w:pos="5102"/>
          <w:tab w:val="left" w:pos="8202"/>
          <w:tab w:val="right" w:pos="10204"/>
        </w:tabs>
        <w:spacing w:after="0" w:line="240" w:lineRule="auto"/>
        <w:rPr>
          <w:rFonts w:ascii="Arial" w:eastAsia="Times New Roman" w:hAnsi="Arial" w:cs="Arial"/>
          <w:b/>
          <w:bCs/>
          <w:caps/>
          <w:lang w:val="ro-MD" w:eastAsia="ru-RU"/>
        </w:rPr>
      </w:pPr>
    </w:p>
    <w:p w14:paraId="6A51C522" w14:textId="3D769121" w:rsidR="000473D9" w:rsidRDefault="000473D9" w:rsidP="000473D9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ro-MD" w:eastAsia="ru-RU"/>
        </w:rPr>
      </w:pPr>
      <w:r w:rsidRPr="000473D9">
        <w:rPr>
          <w:rFonts w:ascii="Arial" w:eastAsia="Times New Roman" w:hAnsi="Arial" w:cs="Arial"/>
          <w:b/>
          <w:bCs/>
          <w:caps/>
          <w:lang w:val="ro-MD" w:eastAsia="ru-RU"/>
        </w:rPr>
        <w:t>Tema de proiectare</w:t>
      </w:r>
    </w:p>
    <w:p w14:paraId="08AA8678" w14:textId="77777777" w:rsidR="0026411D" w:rsidRPr="000473D9" w:rsidRDefault="0026411D" w:rsidP="000473D9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ro-MD"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0473D9" w:rsidRPr="002263CF" w14:paraId="3142DC8E" w14:textId="77777777" w:rsidTr="003C164A">
        <w:trPr>
          <w:trHeight w:val="869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67C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AC8" w14:textId="77777777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EE89" w14:textId="6CF67777" w:rsidR="000473D9" w:rsidRPr="000473D9" w:rsidRDefault="00E9707D" w:rsidP="00E97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Lucrări de proiectare privind 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elaborarea studiului de fezabilitate pentru </w:t>
            </w:r>
            <w:proofErr w:type="spellStart"/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ția</w:t>
            </w:r>
            <w:proofErr w:type="spellEnd"/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punctului de trecere a frontierei (PTF), inclusiv și </w:t>
            </w:r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actualizarea studiului de fezabilitate pentru construcția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drumului de </w:t>
            </w:r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 la podul peste r</w:t>
            </w:r>
            <w:r w:rsidR="00DF0EE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â</w:t>
            </w:r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ul Prut,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amplasat în regiunea s. Zagarancea, r-</w:t>
            </w:r>
            <w:proofErr w:type="spellStart"/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ul</w:t>
            </w:r>
            <w:proofErr w:type="spellEnd"/>
            <w:r w:rsidRPr="00E9707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Ungheni</w:t>
            </w:r>
          </w:p>
        </w:tc>
      </w:tr>
      <w:tr w:rsidR="000473D9" w:rsidRPr="002263CF" w14:paraId="53A07F48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4CE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4F25" w14:textId="77777777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FF1A" w14:textId="77777777" w:rsidR="000473D9" w:rsidRPr="000473D9" w:rsidRDefault="000473D9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Programul privind repartizarea mijloacelor fondului rutier pentru drumurile publice naționale pe anul 2023, aprobat prin HG 73/2023</w:t>
            </w:r>
          </w:p>
        </w:tc>
      </w:tr>
      <w:tr w:rsidR="000473D9" w:rsidRPr="000473D9" w14:paraId="38957F19" w14:textId="77777777" w:rsidTr="00A251CC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A24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0E0" w14:textId="77777777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6D7F" w14:textId="77777777" w:rsidR="000473D9" w:rsidRPr="000473D9" w:rsidRDefault="000473D9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 de fezabilitate</w:t>
            </w:r>
          </w:p>
        </w:tc>
      </w:tr>
      <w:tr w:rsidR="000473D9" w:rsidRPr="000473D9" w14:paraId="2FA6902C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361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6D26" w14:textId="77777777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DA4" w14:textId="77777777" w:rsidR="000473D9" w:rsidRPr="000473D9" w:rsidRDefault="000473D9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48DD4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Câștigătorul licitației publice</w:t>
            </w:r>
          </w:p>
        </w:tc>
      </w:tr>
      <w:tr w:rsidR="000473D9" w:rsidRPr="002263CF" w14:paraId="2BC13E56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62E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F40D" w14:textId="0957443E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Începutul sectorului de </w:t>
            </w:r>
            <w:r w:rsidR="00D217C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92F" w14:textId="07684D64" w:rsidR="000473D9" w:rsidRPr="000473D9" w:rsidRDefault="00F47F13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R1 km 103,25</w:t>
            </w:r>
            <w:r w:rsidR="008F1F3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(intersecția cu sens giratoriu)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3C164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="008F1F3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racordarea cu rețeaua de drumuri naționale, </w:t>
            </w:r>
            <w:r w:rsidR="003C164A" w:rsidRPr="009E04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va preciza prin Studiu de fezabilitate</w:t>
            </w:r>
            <w:r w:rsidR="003C164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).</w:t>
            </w:r>
          </w:p>
        </w:tc>
      </w:tr>
      <w:tr w:rsidR="000473D9" w:rsidRPr="002263CF" w14:paraId="40B35F82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00D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2F27" w14:textId="23CBC59D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Sfârșitul sectorului de</w:t>
            </w:r>
            <w:r w:rsidR="00D217C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proiectare</w:t>
            </w: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923" w14:textId="64507837" w:rsidR="000473D9" w:rsidRPr="000473D9" w:rsidRDefault="008F1F38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Racordarea cu podul peste râul Prut (proiect elaborat de partea română)</w:t>
            </w:r>
          </w:p>
        </w:tc>
      </w:tr>
      <w:tr w:rsidR="000473D9" w:rsidRPr="002263CF" w14:paraId="113096AA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61E" w14:textId="77777777" w:rsidR="000473D9" w:rsidRPr="000473D9" w:rsidRDefault="000473D9" w:rsidP="000473D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1935" w14:textId="77777777" w:rsidR="000473D9" w:rsidRPr="000473D9" w:rsidRDefault="000473D9" w:rsidP="00047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FE10" w14:textId="00A8505E" w:rsidR="000473D9" w:rsidRPr="000473D9" w:rsidRDefault="00B40845" w:rsidP="00047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0,511</w:t>
            </w:r>
            <w:r w:rsidR="003C164A" w:rsidRPr="009E04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km  (se va preciza prin Studiu de fezabilitate)</w:t>
            </w:r>
            <w:r w:rsidR="003C164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  <w:tr w:rsidR="00A653D6" w:rsidRPr="002263CF" w14:paraId="6D56E85B" w14:textId="77777777" w:rsidTr="00024E54">
        <w:trPr>
          <w:trHeight w:val="123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BFC" w14:textId="77777777" w:rsidR="00A653D6" w:rsidRPr="000473D9" w:rsidRDefault="00A653D6" w:rsidP="00A65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AD2C" w14:textId="77777777" w:rsidR="00A653D6" w:rsidRPr="000473D9" w:rsidRDefault="00A653D6" w:rsidP="00A6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Necesitatea efectuării </w:t>
            </w: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sau utilizării </w:t>
            </w: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studiilor de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4E0" w14:textId="59E22ECA" w:rsidR="00A653D6" w:rsidRPr="003656AA" w:rsidRDefault="00A653D6" w:rsidP="00B4084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Trasarea preliminară se va efectua pe </w:t>
            </w:r>
            <w:proofErr w:type="spellStart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hărţi</w:t>
            </w:r>
            <w:proofErr w:type="spellEnd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topografice  Sc 1:50000, 1:25000, 1:10000, precizarea traseului se va efectua pe planuri ORTOFOTO </w:t>
            </w:r>
            <w:proofErr w:type="spellStart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hărţi</w:t>
            </w:r>
            <w:proofErr w:type="spellEnd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digitale, cu vizualizări pe teren</w:t>
            </w:r>
            <w:r w:rsidRPr="00024E5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296ACC2A" w14:textId="54F74118" w:rsidR="00B40845" w:rsidRPr="003656AA" w:rsidRDefault="00B40845" w:rsidP="00C8385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La necesitatea se vor utiliza studii hidrologice, geologice și </w:t>
            </w:r>
            <w:proofErr w:type="spellStart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topogeodezice</w:t>
            </w:r>
            <w:proofErr w:type="spellEnd"/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existent (prospecțiuni), care vor fi puse la dispoziție de către beneficiar;</w:t>
            </w:r>
          </w:p>
          <w:p w14:paraId="5A9DA885" w14:textId="30A17B6C" w:rsidR="00B964BF" w:rsidRPr="00C8385C" w:rsidRDefault="00B40845" w:rsidP="00C8385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Modelarea </w:t>
            </w:r>
            <w:r w:rsidR="00556D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</w:t>
            </w:r>
            <w:r w:rsidR="00B964BF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tudiu</w:t>
            </w: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lui</w:t>
            </w:r>
            <w:r w:rsidR="00B964BF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trafic</w:t>
            </w:r>
            <w:r w:rsidR="00556D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(trafic de frontieră),</w:t>
            </w:r>
            <w:r w:rsidR="00C8385C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utilizând datele Studiului de Fezabilitate pentru „Pod peste Prut la Ungheni" elaborat de partea română</w:t>
            </w:r>
            <w:r w:rsidR="00B964BF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  <w:tr w:rsidR="00A653D6" w:rsidRPr="002263CF" w14:paraId="5A034DD4" w14:textId="77777777" w:rsidTr="00A251CC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D66E" w14:textId="77777777" w:rsidR="00A653D6" w:rsidRPr="000473D9" w:rsidRDefault="00A653D6" w:rsidP="00A65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1F09" w14:textId="77777777" w:rsidR="00A653D6" w:rsidRPr="000473D9" w:rsidRDefault="00A653D6" w:rsidP="00A6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 xml:space="preserve">Parametrii tehnici de bază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DBE" w14:textId="77777777" w:rsidR="00A653D6" w:rsidRDefault="00A653D6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drumului conform: NCM D.02.01:2015 „Proiectarea Drumurilor Publice”, CP_D.02.11-2014 „Recomandări privind proiectarea străzilor drumurilor din localități urbane și rurale”. </w:t>
            </w:r>
          </w:p>
          <w:p w14:paraId="5E5E8B1A" w14:textId="50416B41" w:rsidR="002263CF" w:rsidRPr="000473D9" w:rsidRDefault="002263CF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PTF să fie în concordanță cu condițiile tehnice emise de Serviciul Vamal 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oliția de Frontieră a 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inclusiv studiile elaborate de partea română;</w:t>
            </w:r>
          </w:p>
          <w:p w14:paraId="762A7D6D" w14:textId="1774B8C9" w:rsidR="00A653D6" w:rsidRPr="000473D9" w:rsidRDefault="00A653D6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Categoria tehnică a drumului se determină după NCM D.02.01:2015 conform studiului intensității traficului rutier</w:t>
            </w:r>
            <w:r w:rsidR="00556D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(trafic de frontieră).</w:t>
            </w:r>
          </w:p>
          <w:p w14:paraId="571AC505" w14:textId="646895F0" w:rsidR="00A653D6" w:rsidRPr="000473D9" w:rsidRDefault="00A653D6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Tipul îmbrăcămintei rutiere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– se va adopta în cadrul argumentării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-economice,</w:t>
            </w:r>
            <w:r w:rsidRPr="009E04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(sarcina pe osie pentru calculul sistemului rutier – 115 </w:t>
            </w:r>
            <w:proofErr w:type="spellStart"/>
            <w:r w:rsidRPr="009E04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kN</w:t>
            </w:r>
            <w:proofErr w:type="spellEnd"/>
            <w:r w:rsidRPr="009E04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157EC980" w14:textId="77777777" w:rsidR="00A653D6" w:rsidRPr="000473D9" w:rsidRDefault="00A653D6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Măsuri contra alunecărilor de teren conform: NCM A.06.01.2006 „Protecția tehnică a teritoriului, clădirilor și construcțiilor contra proceselor geologice periculoase. Date generale”.</w:t>
            </w:r>
          </w:p>
          <w:p w14:paraId="3C04F237" w14:textId="4A463FAD" w:rsidR="00A653D6" w:rsidRDefault="00131202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Prestatorul</w:t>
            </w: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va elabora compartimentul „</w:t>
            </w:r>
            <w:r w:rsidR="00A22D9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Evaluarea impactului asupra mediului</w:t>
            </w:r>
            <w:r w:rsidR="00A653D6" w:rsidRPr="00A22D9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”. Componența și conținutul compartimentului  în documentația de proiect se va elabora conform NCM A.07.06:2016. </w:t>
            </w:r>
          </w:p>
          <w:p w14:paraId="1681960F" w14:textId="77777777" w:rsidR="003656AA" w:rsidRDefault="003656AA" w:rsidP="003656A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Accesoriile drumului, siguranța rutieră – Conform NCM D.02.01:2015, CP D.02.10-2016, altor standarde în vigoare.</w:t>
            </w:r>
          </w:p>
          <w:p w14:paraId="1F6A2969" w14:textId="2ED9CE1A" w:rsidR="003656AA" w:rsidRPr="003656AA" w:rsidRDefault="003656AA" w:rsidP="003656A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Lucrări de artă -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2.05.03-84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Мосты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трубы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”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inclusiv și a altor normative și standarde în vigoare; </w:t>
            </w:r>
          </w:p>
          <w:p w14:paraId="7ADABC04" w14:textId="6C67A8ED" w:rsidR="003656AA" w:rsidRPr="003656AA" w:rsidRDefault="003656AA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Seismicitatea zonei - 8 grade pe scara MSK-64;</w:t>
            </w:r>
          </w:p>
          <w:p w14:paraId="5D7E0CE5" w14:textId="5B3304D5" w:rsidR="00A653D6" w:rsidRPr="000473D9" w:rsidRDefault="00A653D6" w:rsidP="003656A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Durata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viață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normată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proiectată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conform EN 1990:2004</w:t>
            </w:r>
          </w:p>
          <w:p w14:paraId="47C1A826" w14:textId="77777777" w:rsidR="00A653D6" w:rsidRPr="000473D9" w:rsidRDefault="00A653D6" w:rsidP="003656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Acțiuni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variabile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trafic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conform EN 1992-2:2005.</w:t>
            </w:r>
          </w:p>
          <w:p w14:paraId="6B5C966A" w14:textId="77777777" w:rsidR="00A653D6" w:rsidRPr="000473D9" w:rsidRDefault="00A653D6" w:rsidP="00A653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2E2C95" w:rsidRPr="002263CF" w14:paraId="0920D495" w14:textId="77777777" w:rsidTr="00556D8F">
        <w:trPr>
          <w:trHeight w:val="11579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A20" w14:textId="77777777" w:rsidR="002E2C95" w:rsidRPr="000473D9" w:rsidRDefault="002E2C95" w:rsidP="002E2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E21" w14:textId="22CC44D9" w:rsidR="002E2C95" w:rsidRPr="000473D9" w:rsidRDefault="002E2C95" w:rsidP="002E2C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Cerințe suplimentare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8B9" w14:textId="66D4250B" w:rsidR="0067488F" w:rsidRDefault="0067488F" w:rsidP="002263CF">
            <w:pPr>
              <w:numPr>
                <w:ilvl w:val="0"/>
                <w:numId w:val="3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Proiectarea se va face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 coordonatele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99;</w:t>
            </w:r>
          </w:p>
          <w:p w14:paraId="73A7C208" w14:textId="30CC06AA" w:rsidR="0067488F" w:rsidRDefault="0067488F" w:rsidP="002263CF">
            <w:pPr>
              <w:numPr>
                <w:ilvl w:val="0"/>
                <w:numId w:val="3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Prestatorul va efectua prognoza de trafic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 baza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ă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reia se va elabora analiza cost</w:t>
            </w:r>
            <w:r w:rsid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- beneficiu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 va include la elaborarea prognozelor de trafic compozi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ia traficului generat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 de dezvoltare.</w:t>
            </w:r>
          </w:p>
          <w:p w14:paraId="1693280B" w14:textId="49D65ECD" w:rsidR="00131202" w:rsidRPr="00131202" w:rsidRDefault="00EA707C" w:rsidP="002263CF">
            <w:pPr>
              <w:numPr>
                <w:ilvl w:val="0"/>
                <w:numId w:val="3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Constrângerile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relevante vor fi identificate </w:t>
            </w:r>
            <w:r w:rsidR="0013120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 localizate. Acestea vor include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: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3D94209E" w14:textId="796EB407" w:rsidR="00EA707C" w:rsidRDefault="0067488F" w:rsidP="002263CF">
            <w:pPr>
              <w:spacing w:after="0" w:line="276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 Zone locuite, industriale, etc</w:t>
            </w:r>
            <w:r w:rsid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52748CE8" w14:textId="55D2313F" w:rsidR="00EA707C" w:rsidRDefault="0067488F" w:rsidP="002263CF">
            <w:pPr>
              <w:spacing w:after="0" w:line="276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- Cai de </w:t>
            </w:r>
            <w:r w:rsidR="00EA707C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comunicații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="00EA707C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rețele</w:t>
            </w:r>
            <w:r w:rsidR="008F56E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utilități;</w:t>
            </w:r>
          </w:p>
          <w:p w14:paraId="19C8C96B" w14:textId="0A12F7BD" w:rsidR="00EA707C" w:rsidRDefault="00EA707C" w:rsidP="002263CF">
            <w:pPr>
              <w:spacing w:after="0" w:line="276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Particularități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relief (cursuri de apa., 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păduri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etc)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3CA6E1C9" w14:textId="18CABB0B" w:rsidR="00EA707C" w:rsidRDefault="00EA707C" w:rsidP="002263CF">
            <w:pPr>
              <w:spacing w:after="0" w:line="276" w:lineRule="auto"/>
              <w:ind w:left="553" w:hanging="5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rii naturale protejate de interes 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național</w:t>
            </w:r>
            <w:r w:rsidR="008F56E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și internațional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745667B2" w14:textId="1C66D429" w:rsidR="00EA707C" w:rsidRDefault="00EA707C" w:rsidP="002263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- 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Zone geologice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etc.</w:t>
            </w:r>
          </w:p>
          <w:p w14:paraId="36DE86FD" w14:textId="77777777" w:rsidR="00EA707C" w:rsidRDefault="00EA707C" w:rsidP="002263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Prestatorul va baza analiza 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pe documente existente, completate cu </w:t>
            </w:r>
          </w:p>
          <w:p w14:paraId="23887A18" w14:textId="7C82B812" w:rsidR="0067488F" w:rsidRDefault="00EA707C" w:rsidP="002263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 </w:t>
            </w: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recunoașteri</w:t>
            </w:r>
            <w:r w:rsidR="0067488F"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vizuale la fata locului.</w:t>
            </w:r>
          </w:p>
          <w:p w14:paraId="5258BA76" w14:textId="5A76862C" w:rsidR="00EA707C" w:rsidRDefault="00EA707C" w:rsidP="002263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 parte a etape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ANALIZA COST-BENEFICIU, Prestatorul va identifica, studia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propune minim 2 scenarii/ opțiuni </w:t>
            </w:r>
            <w:proofErr w:type="spellStart"/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-economice diferite, fundamentând </w:t>
            </w:r>
            <w:r w:rsid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recomandând, justificat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documentat, scenariul/ opțiunea </w:t>
            </w:r>
            <w:proofErr w:type="spellStart"/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tehnico-economic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ă</w:t>
            </w:r>
            <w:proofErr w:type="spellEnd"/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optim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ă</w:t>
            </w:r>
            <w:r w:rsidRPr="00EA707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pentru realizarea obiectivului de investiții. </w:t>
            </w:r>
          </w:p>
          <w:p w14:paraId="5A1ECFFB" w14:textId="67231D42" w:rsidR="002E2C95" w:rsidRPr="000473D9" w:rsidRDefault="002E2C95" w:rsidP="002263CF">
            <w:pPr>
              <w:autoSpaceDE w:val="0"/>
              <w:autoSpaceDN w:val="0"/>
              <w:adjustRightInd w:val="0"/>
              <w:spacing w:after="0" w:line="276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vor propune variante alternative ținând cont de:</w:t>
            </w:r>
          </w:p>
          <w:p w14:paraId="6B1DA6E0" w14:textId="77777777" w:rsidR="002E2C95" w:rsidRDefault="002E2C95" w:rsidP="002263CF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Costul</w:t>
            </w:r>
            <w:r w:rsidRPr="000473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estimativ minim al lucrărilor;</w:t>
            </w:r>
          </w:p>
          <w:p w14:paraId="6B97BF48" w14:textId="0BD74EF8" w:rsidR="002E2C95" w:rsidRPr="002263CF" w:rsidRDefault="002E2C95" w:rsidP="002263CF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Evaluarea tuturor sectoarelor cu impact negativ asupra mediului   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</w:t>
            </w:r>
            <w:r w:rsidR="002263CF" w:rsidRP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înconjurător și minimizarea acestuia;</w:t>
            </w:r>
          </w:p>
          <w:p w14:paraId="37921A2E" w14:textId="2324ED6F" w:rsidR="002E2C95" w:rsidRPr="00556D8F" w:rsidRDefault="002E2C95" w:rsidP="002263CF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Conexiunea rațională la rețeaua de drumuri naționale</w:t>
            </w:r>
            <w:r w:rsidR="00556D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F4B6A6A" w14:textId="472D887F" w:rsidR="00556D8F" w:rsidRDefault="00556D8F" w:rsidP="002263CF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Cooperarea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economico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-comercială dintre Republica Moldova și România</w:t>
            </w:r>
            <w:r w:rsid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benefici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</w:t>
            </w:r>
            <w:r w:rsid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generate 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</w:t>
            </w:r>
            <w:r w:rsid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 construcția drumului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și a PTF;</w:t>
            </w:r>
          </w:p>
          <w:p w14:paraId="41BAF6EF" w14:textId="5D0E0F3F" w:rsidR="002E2C95" w:rsidRDefault="001E2382" w:rsidP="002263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Prestatorul</w:t>
            </w:r>
            <w:r w:rsidR="002E2C95"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va lua în considerare propunerile înaintate de către autoritățile publice locale</w:t>
            </w:r>
            <w:r w:rsidR="0013120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E2C95"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care vor fi întocmite pe baza măsurătorilor efectuate la fața locului, discutate cu beneficiarul și acceptate după argumentările corespunzătoare;</w:t>
            </w:r>
          </w:p>
          <w:p w14:paraId="136AEE41" w14:textId="0C0EE287" w:rsidR="00131202" w:rsidRPr="00131202" w:rsidRDefault="00131202" w:rsidP="002263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Prestatorul va </w:t>
            </w:r>
            <w:r w:rsidR="00556D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racorda drumul cu podul peste râul Prut (proiect elaborat de partea română).</w:t>
            </w:r>
          </w:p>
          <w:p w14:paraId="725AFF58" w14:textId="576123A8" w:rsidR="002E2C95" w:rsidRDefault="001E2382" w:rsidP="002263CF">
            <w:pPr>
              <w:pStyle w:val="a7"/>
              <w:numPr>
                <w:ilvl w:val="0"/>
                <w:numId w:val="3"/>
              </w:numPr>
              <w:spacing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Prestatorul</w:t>
            </w:r>
            <w:r w:rsidR="002E2C95"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va colabora cu Serviciul Vamal și 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="002E2C95"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oliția de Frontieră a RM și va lua în considerare propunerile de dezvoltare</w:t>
            </w:r>
            <w:r w:rsidR="003C164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a drumului în preajma</w:t>
            </w:r>
            <w:r w:rsidR="002E2C95"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punctului de trecere a frontierei, în conformitate cu viziunile de perspectivă</w:t>
            </w:r>
            <w:r w:rsidR="003C164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(parcări, benzi separate de staționare etc.)</w:t>
            </w:r>
          </w:p>
          <w:p w14:paraId="3A2DC665" w14:textId="349E1A24" w:rsidR="003656AA" w:rsidRPr="004268E7" w:rsidRDefault="00A22D9A" w:rsidP="002263CF">
            <w:pPr>
              <w:pStyle w:val="a7"/>
              <w:numPr>
                <w:ilvl w:val="0"/>
                <w:numId w:val="3"/>
              </w:numPr>
              <w:spacing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Prestatorul trebuie sa aibă în vedere și va fi responsabil de obținerea avizelor, acordurilor, autorizațiilor finale, precum și a tuturor aprobărilor/ avizelor/ autorizațiilor finale și întocmirea documentației necesare </w:t>
            </w:r>
            <w:r w:rsidR="00131202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cu </w:t>
            </w: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respectarea condiți</w:t>
            </w:r>
            <w:r w:rsidR="00131202"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ilor</w:t>
            </w:r>
            <w:r w:rsidRPr="003656A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din avize.</w:t>
            </w:r>
          </w:p>
        </w:tc>
      </w:tr>
      <w:tr w:rsidR="00A653D6" w:rsidRPr="002263CF" w14:paraId="03BB7FAE" w14:textId="77777777" w:rsidTr="001B144F">
        <w:trPr>
          <w:trHeight w:val="165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DC9" w14:textId="77777777" w:rsidR="00A653D6" w:rsidRPr="000473D9" w:rsidRDefault="00A653D6" w:rsidP="00A65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F9E" w14:textId="77777777" w:rsidR="00A653D6" w:rsidRPr="000473D9" w:rsidRDefault="00A653D6" w:rsidP="00A6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Condiții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0694" w14:textId="3665BE10" w:rsidR="00A653D6" w:rsidRPr="004268E7" w:rsidRDefault="00157100" w:rsidP="00556D8F">
            <w:pPr>
              <w:numPr>
                <w:ilvl w:val="0"/>
                <w:numId w:val="2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Prestatorul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va </w:t>
            </w:r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actualiza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studiul de fezabilitate </w:t>
            </w:r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elaborata de către                        S.R.L. ,,</w:t>
            </w:r>
            <w:proofErr w:type="spellStart"/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Universcons</w:t>
            </w:r>
            <w:proofErr w:type="spellEnd"/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în anul 2017,</w:t>
            </w:r>
            <w:r w:rsidR="00C310D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653D6" w:rsidRPr="004268E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prevederilor</w:t>
            </w:r>
            <w:r w:rsidR="004268E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A653D6" w:rsidRPr="004268E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Standardelor Europene, puse în aplicare din 01.01.2021</w:t>
            </w:r>
            <w:r w:rsidR="00C310D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cu încadrarea punctului de trecere a frontierei;</w:t>
            </w:r>
          </w:p>
          <w:p w14:paraId="70559316" w14:textId="2292F574" w:rsidR="00A653D6" w:rsidRDefault="00157100" w:rsidP="00556D8F">
            <w:pPr>
              <w:numPr>
                <w:ilvl w:val="0"/>
                <w:numId w:val="2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Prestatorul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 va conduce de normele și legislația în vigoare</w:t>
            </w:r>
            <w:r w:rsidR="00E73D9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1DF8A7F5" w14:textId="01C0AF51" w:rsidR="00E73D9E" w:rsidRPr="001B144F" w:rsidRDefault="004268E7" w:rsidP="001B144F">
            <w:pPr>
              <w:pStyle w:val="a7"/>
              <w:numPr>
                <w:ilvl w:val="0"/>
                <w:numId w:val="3"/>
              </w:numPr>
              <w:spacing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Prestatorul va</w:t>
            </w:r>
            <w:r w:rsidR="00E73D9E" w:rsidRPr="00000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elabora compartimentul „Alocare de terenuri”  cu indicarea </w:t>
            </w:r>
            <w:r w:rsidR="00E73D9E"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obligatorie a hotarelor, suprafețelor, nr. cadastral, forma de proprietate, situat pe amplasamentul lucrării integrală/parțială, pe fiecare teren în parte;</w:t>
            </w:r>
          </w:p>
          <w:p w14:paraId="67502A4F" w14:textId="48D2E219" w:rsidR="00E73D9E" w:rsidRPr="001B144F" w:rsidRDefault="00157100" w:rsidP="001B144F">
            <w:pPr>
              <w:pStyle w:val="a7"/>
              <w:numPr>
                <w:ilvl w:val="0"/>
                <w:numId w:val="3"/>
              </w:numPr>
              <w:spacing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Prestatorul</w:t>
            </w:r>
            <w:r w:rsidR="00E73D9E"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va elabora Programul de realocare (achiziție) a terenurilor suplimentare necesare pentru </w:t>
            </w:r>
            <w:r w:rsidR="004268E7"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construcția</w:t>
            </w:r>
            <w:r w:rsidR="00E73D9E"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drumului public</w:t>
            </w:r>
            <w:r w:rsidR="00C310D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0B4D42D3" w14:textId="6A4AF1C4" w:rsidR="001B144F" w:rsidRPr="001B144F" w:rsidRDefault="001B144F" w:rsidP="00C310DF">
            <w:pPr>
              <w:numPr>
                <w:ilvl w:val="0"/>
                <w:numId w:val="2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ul</w:t>
            </w:r>
            <w:r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va conține limitele zonei de siguranță a drumului și limitele zonei infrastructurii conexe a punctului de trecere a frontierei;</w:t>
            </w:r>
          </w:p>
          <w:p w14:paraId="6E71183B" w14:textId="635FDC68" w:rsidR="001B144F" w:rsidRPr="002263CF" w:rsidRDefault="001B144F" w:rsidP="002263CF">
            <w:pPr>
              <w:numPr>
                <w:ilvl w:val="0"/>
                <w:numId w:val="2"/>
              </w:numPr>
              <w:spacing w:after="0" w:line="276" w:lineRule="auto"/>
              <w:ind w:left="412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7488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Prestatorul 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va lua în considerare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soluțiile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construcție/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dezvoltare în conformitate cu viziunile de perspectivă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821A3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podului peste râul Prut (Studiu de fezabilitate, proiecte tehnice etc., efectuate de partea română).</w:t>
            </w:r>
          </w:p>
        </w:tc>
      </w:tr>
      <w:tr w:rsidR="00A653D6" w:rsidRPr="002263CF" w14:paraId="485144F2" w14:textId="77777777" w:rsidTr="00A251CC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D95" w14:textId="77777777" w:rsidR="00A653D6" w:rsidRPr="000473D9" w:rsidRDefault="00A653D6" w:rsidP="00A65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4FE2" w14:textId="77777777" w:rsidR="00A653D6" w:rsidRPr="000473D9" w:rsidRDefault="00A653D6" w:rsidP="00A6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Conținutul studiului de fezabilitate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7A61" w14:textId="77777777" w:rsidR="00A653D6" w:rsidRPr="000473D9" w:rsidRDefault="00A653D6" w:rsidP="00556D8F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Conform NCM A.07.02:2012/А1:2017 „Procedura de elaborare, avizare, aprobare și conținutul-cadru al documentației de proiect pentru construcții și </w:t>
            </w:r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NCM L.01.07-2005 „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fundamentarea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investitionale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construcţii</w:t>
            </w:r>
            <w:proofErr w:type="spellEnd"/>
            <w:r w:rsidRPr="00047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3E49695" w14:textId="38346463" w:rsidR="00A653D6" w:rsidRPr="000473D9" w:rsidRDefault="001B144F" w:rsidP="00556D8F">
            <w:pPr>
              <w:spacing w:after="0" w:line="276" w:lineRule="auto"/>
              <w:ind w:left="2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Cerințe și prevederi principale :</w:t>
            </w:r>
          </w:p>
          <w:p w14:paraId="6371A692" w14:textId="0E992A9C" w:rsidR="00A653D6" w:rsidRPr="001B144F" w:rsidRDefault="001B144F" w:rsidP="001B144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Memoriu explicativ general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</w:t>
            </w:r>
            <w:r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Sinteza – Sumar – Concluzii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):</w:t>
            </w:r>
            <w:r w:rsidRPr="001B144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1A102414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Situația de referință în regiunea de proiect</w:t>
            </w:r>
          </w:p>
          <w:p w14:paraId="7844E276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Acțiuni de proiect și cadrul legal</w:t>
            </w:r>
          </w:p>
          <w:p w14:paraId="05B0C8D9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opțiunilor</w:t>
            </w:r>
          </w:p>
          <w:p w14:paraId="6A15E999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Descrierea proiectului investițional</w:t>
            </w:r>
          </w:p>
          <w:p w14:paraId="65AF7855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Impactul </w:t>
            </w:r>
            <w:proofErr w:type="spellStart"/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socio</w:t>
            </w:r>
            <w:proofErr w:type="spellEnd"/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 și aspectele de gen</w:t>
            </w:r>
          </w:p>
          <w:p w14:paraId="2DEC2E4A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financiară a proiectului</w:t>
            </w:r>
          </w:p>
          <w:p w14:paraId="58B889F3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economică a proiectului</w:t>
            </w:r>
          </w:p>
          <w:p w14:paraId="3A910A8A" w14:textId="77777777" w:rsidR="00A653D6" w:rsidRPr="000473D9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riscurilor</w:t>
            </w:r>
          </w:p>
          <w:p w14:paraId="694E331C" w14:textId="77777777" w:rsidR="00A653D6" w:rsidRDefault="00A653D6" w:rsidP="00556D8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Planul de implementare</w:t>
            </w:r>
          </w:p>
          <w:p w14:paraId="378B3F69" w14:textId="107E9282" w:rsidR="00C310DF" w:rsidRPr="00C310DF" w:rsidRDefault="00C310DF" w:rsidP="00C310D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Studii de trafic</w:t>
            </w:r>
          </w:p>
          <w:p w14:paraId="207A8925" w14:textId="1C6D5744" w:rsidR="00C310DF" w:rsidRPr="00C310DF" w:rsidRDefault="00C310DF" w:rsidP="00C310DF">
            <w:pPr>
              <w:numPr>
                <w:ilvl w:val="1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310D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Studiu privind alternative de traseu </w:t>
            </w:r>
          </w:p>
          <w:p w14:paraId="780BB759" w14:textId="16254049" w:rsidR="00A653D6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Desene pe compartimente;</w:t>
            </w:r>
          </w:p>
          <w:p w14:paraId="4C02082B" w14:textId="1BD5F8A5" w:rsidR="00F63D61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F63D6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Deviz general, Indicatori </w:t>
            </w:r>
            <w:proofErr w:type="spellStart"/>
            <w:r w:rsidR="00F63D6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 w:rsidR="00F63D6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-economici;</w:t>
            </w:r>
          </w:p>
          <w:p w14:paraId="4E7326FE" w14:textId="603A9435" w:rsidR="004D65AB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4D65A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Studiul de evaluare a impactului asupra mediului;</w:t>
            </w:r>
          </w:p>
          <w:p w14:paraId="4C0BDC7C" w14:textId="4453E9A3" w:rsidR="00C310DF" w:rsidRDefault="00C310D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Studiu arheologic;</w:t>
            </w:r>
          </w:p>
          <w:p w14:paraId="12C6085A" w14:textId="77777777" w:rsidR="001B144F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4D65A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Avize și acorduri</w:t>
            </w:r>
            <w:r w:rsidR="001E238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inclusiv studiile de soluție solicitate de deținătorii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</w:p>
          <w:p w14:paraId="3D53F045" w14:textId="173AA4A6" w:rsidR="004D65AB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</w:t>
            </w:r>
            <w:r w:rsidR="001E238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utilități;</w:t>
            </w:r>
          </w:p>
          <w:p w14:paraId="3FDD048D" w14:textId="55C5987E" w:rsidR="004D65AB" w:rsidRPr="000473D9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</w:t>
            </w:r>
            <w:r w:rsidR="001E238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Documentațiile privind exproprierea terenurilor</w:t>
            </w:r>
          </w:p>
          <w:p w14:paraId="7485CD09" w14:textId="63855EF8" w:rsidR="00A653D6" w:rsidRPr="000473D9" w:rsidRDefault="001B144F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</w:t>
            </w:r>
            <w:r w:rsidR="00A653D6"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Recomandări</w:t>
            </w:r>
            <w:r w:rsidR="001E238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4C17CE47" w14:textId="77777777" w:rsidR="00A653D6" w:rsidRPr="000473D9" w:rsidRDefault="00A653D6" w:rsidP="00556D8F">
            <w:pPr>
              <w:spacing w:after="0" w:line="276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A653D6" w:rsidRPr="002263CF" w14:paraId="457DBF81" w14:textId="77777777" w:rsidTr="00A251CC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8DE" w14:textId="77777777" w:rsidR="00A653D6" w:rsidRPr="000473D9" w:rsidRDefault="00A653D6" w:rsidP="00A653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BE80" w14:textId="77777777" w:rsidR="00A653D6" w:rsidRPr="000473D9" w:rsidRDefault="00A653D6" w:rsidP="00A6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exemplarelor de 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619" w14:textId="4BB08555" w:rsidR="00A653D6" w:rsidRPr="000473D9" w:rsidRDefault="00A653D6" w:rsidP="00556D8F">
            <w:pPr>
              <w:numPr>
                <w:ilvl w:val="0"/>
                <w:numId w:val="2"/>
              </w:numPr>
              <w:spacing w:after="0" w:line="276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În volum de 3 exemplare </w:t>
            </w:r>
            <w:r w:rsidR="00DB619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 limba română și un exemplar în limba  engleză (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RO</w:t>
            </w:r>
            <w:r w:rsidR="002263C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+ </w:t>
            </w:r>
            <w:r w:rsidR="00DB619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EN)</w:t>
            </w:r>
            <w:r w:rsidRPr="000473D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</w:tbl>
    <w:p w14:paraId="3FE0118F" w14:textId="77777777" w:rsidR="00A44F49" w:rsidRPr="00A44F49" w:rsidRDefault="00A44F49" w:rsidP="001B144F">
      <w:pPr>
        <w:spacing w:after="0" w:line="720" w:lineRule="auto"/>
        <w:rPr>
          <w:rFonts w:ascii="Times New Roman" w:eastAsia="Times New Roman" w:hAnsi="Times New Roman" w:cs="Times New Roman"/>
          <w:iCs/>
          <w:sz w:val="14"/>
          <w:szCs w:val="14"/>
          <w:lang w:val="en-US" w:eastAsia="ru-RU"/>
        </w:rPr>
      </w:pPr>
    </w:p>
    <w:p w14:paraId="330B7A23" w14:textId="258CB49B" w:rsidR="000473D9" w:rsidRPr="00556D8F" w:rsidRDefault="000473D9" w:rsidP="00A44F49">
      <w:pPr>
        <w:spacing w:after="0" w:line="600" w:lineRule="auto"/>
        <w:rPr>
          <w:rFonts w:ascii="Times New Roman" w:eastAsia="Times New Roman" w:hAnsi="Times New Roman" w:cs="Times New Roman"/>
          <w:iCs/>
          <w:sz w:val="26"/>
          <w:szCs w:val="26"/>
          <w:lang w:val="ro-RO" w:eastAsia="ru-RU"/>
        </w:rPr>
      </w:pP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Director adjunct  </w:t>
      </w:r>
      <w:r w:rsidR="001E2382"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                                                        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  <w:t xml:space="preserve">            </w:t>
      </w:r>
      <w:r w:rsidR="00A44F49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    Serghei GALUȘCA</w:t>
      </w:r>
    </w:p>
    <w:p w14:paraId="5A595FD6" w14:textId="71B863F5" w:rsidR="000473D9" w:rsidRPr="00556D8F" w:rsidRDefault="000473D9" w:rsidP="00A44F49">
      <w:pPr>
        <w:spacing w:after="0" w:line="600" w:lineRule="auto"/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</w:pP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Șef direcție Implementare </w:t>
      </w:r>
      <w:r w:rsidR="00B910C3"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>P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roiecte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  <w:t xml:space="preserve">         </w:t>
      </w:r>
      <w:r w:rsid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="00A44F49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 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="00A44F49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  Andrei ERMURACHI</w:t>
      </w:r>
    </w:p>
    <w:p w14:paraId="2A548839" w14:textId="7BEA9739" w:rsidR="00DB619E" w:rsidRPr="00556D8F" w:rsidRDefault="00DB619E" w:rsidP="00A44F49">
      <w:pPr>
        <w:spacing w:after="0" w:line="60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</w:pP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>Șef direcție Investiții Externe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ab/>
        <w:t xml:space="preserve">     </w:t>
      </w:r>
      <w:r w:rsidR="00A44F49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</w:t>
      </w:r>
      <w:r w:rsidRPr="00556D8F">
        <w:rPr>
          <w:rFonts w:ascii="Times New Roman" w:eastAsia="Times New Roman" w:hAnsi="Times New Roman" w:cs="Times New Roman"/>
          <w:iCs/>
          <w:sz w:val="26"/>
          <w:szCs w:val="26"/>
          <w:lang w:val="ro-MD" w:eastAsia="ru-RU"/>
        </w:rPr>
        <w:t xml:space="preserve">  Mircea DOBÎNDA</w:t>
      </w:r>
    </w:p>
    <w:p w14:paraId="232DF2F0" w14:textId="79B5B91B" w:rsidR="00D73402" w:rsidRPr="00556D8F" w:rsidRDefault="00D73402" w:rsidP="00A44F49">
      <w:pPr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 xml:space="preserve">Șef serviciu Evidență și </w:t>
      </w:r>
      <w:r w:rsidR="00B910C3"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>A</w:t>
      </w:r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 xml:space="preserve">chiziții de </w:t>
      </w:r>
      <w:r w:rsidR="00B910C3"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>T</w:t>
      </w:r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>eren</w:t>
      </w:r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ab/>
        <w:t xml:space="preserve">                                         </w:t>
      </w:r>
      <w:proofErr w:type="spellStart"/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>Lilian</w:t>
      </w:r>
      <w:proofErr w:type="spellEnd"/>
      <w:r w:rsidRPr="00556D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ro-MD" w:eastAsia="ru-RU"/>
        </w:rPr>
        <w:t xml:space="preserve"> SIDLETCHI</w:t>
      </w:r>
    </w:p>
    <w:sectPr w:rsidR="00D73402" w:rsidRPr="00556D8F" w:rsidSect="003656AA">
      <w:pgSz w:w="11906" w:h="16838"/>
      <w:pgMar w:top="567" w:right="850" w:bottom="142" w:left="993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4A8A" w14:textId="77777777" w:rsidR="00EC65FD" w:rsidRDefault="00EC65FD">
      <w:pPr>
        <w:spacing w:after="0" w:line="240" w:lineRule="auto"/>
      </w:pPr>
      <w:r>
        <w:separator/>
      </w:r>
    </w:p>
  </w:endnote>
  <w:endnote w:type="continuationSeparator" w:id="0">
    <w:p w14:paraId="3710D630" w14:textId="77777777" w:rsidR="00EC65FD" w:rsidRDefault="00E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057D" w14:textId="77777777" w:rsidR="00EC65FD" w:rsidRDefault="00EC65FD">
      <w:pPr>
        <w:spacing w:after="0" w:line="240" w:lineRule="auto"/>
      </w:pPr>
      <w:r>
        <w:separator/>
      </w:r>
    </w:p>
  </w:footnote>
  <w:footnote w:type="continuationSeparator" w:id="0">
    <w:p w14:paraId="7D5F8593" w14:textId="77777777" w:rsidR="00EC65FD" w:rsidRDefault="00EC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75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598670">
    <w:abstractNumId w:val="1"/>
  </w:num>
  <w:num w:numId="3" w16cid:durableId="1348755510">
    <w:abstractNumId w:val="2"/>
  </w:num>
  <w:num w:numId="4" w16cid:durableId="537282540">
    <w:abstractNumId w:val="0"/>
  </w:num>
  <w:num w:numId="5" w16cid:durableId="431049771">
    <w:abstractNumId w:val="2"/>
  </w:num>
  <w:num w:numId="6" w16cid:durableId="79602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C"/>
    <w:rsid w:val="00024E54"/>
    <w:rsid w:val="000473D9"/>
    <w:rsid w:val="000F452F"/>
    <w:rsid w:val="00131202"/>
    <w:rsid w:val="00157100"/>
    <w:rsid w:val="00174B83"/>
    <w:rsid w:val="00174FC5"/>
    <w:rsid w:val="001B144F"/>
    <w:rsid w:val="001E2382"/>
    <w:rsid w:val="002263CF"/>
    <w:rsid w:val="0026411D"/>
    <w:rsid w:val="00282BB3"/>
    <w:rsid w:val="00295E5C"/>
    <w:rsid w:val="002E2C95"/>
    <w:rsid w:val="003656AA"/>
    <w:rsid w:val="003C164A"/>
    <w:rsid w:val="003D0D72"/>
    <w:rsid w:val="004268E7"/>
    <w:rsid w:val="004415E5"/>
    <w:rsid w:val="00473DF3"/>
    <w:rsid w:val="004919AC"/>
    <w:rsid w:val="004D65AB"/>
    <w:rsid w:val="00556D8F"/>
    <w:rsid w:val="005722DD"/>
    <w:rsid w:val="005C0F3E"/>
    <w:rsid w:val="0067488F"/>
    <w:rsid w:val="006A7B7A"/>
    <w:rsid w:val="007247B4"/>
    <w:rsid w:val="0072655A"/>
    <w:rsid w:val="00754AF4"/>
    <w:rsid w:val="0079653E"/>
    <w:rsid w:val="007E7FA3"/>
    <w:rsid w:val="00821A35"/>
    <w:rsid w:val="008752B7"/>
    <w:rsid w:val="008F1F38"/>
    <w:rsid w:val="008F56E5"/>
    <w:rsid w:val="00915782"/>
    <w:rsid w:val="00A22D9A"/>
    <w:rsid w:val="00A44F49"/>
    <w:rsid w:val="00A653D6"/>
    <w:rsid w:val="00A71CE8"/>
    <w:rsid w:val="00A9254C"/>
    <w:rsid w:val="00B40845"/>
    <w:rsid w:val="00B910C3"/>
    <w:rsid w:val="00B964BF"/>
    <w:rsid w:val="00BB2A10"/>
    <w:rsid w:val="00BB3594"/>
    <w:rsid w:val="00BF0480"/>
    <w:rsid w:val="00C310DF"/>
    <w:rsid w:val="00C8385C"/>
    <w:rsid w:val="00C966FF"/>
    <w:rsid w:val="00D217CA"/>
    <w:rsid w:val="00D73402"/>
    <w:rsid w:val="00DB619E"/>
    <w:rsid w:val="00DF0EE4"/>
    <w:rsid w:val="00E432F0"/>
    <w:rsid w:val="00E73D9E"/>
    <w:rsid w:val="00E9707D"/>
    <w:rsid w:val="00EA707C"/>
    <w:rsid w:val="00EC65FD"/>
    <w:rsid w:val="00EC66ED"/>
    <w:rsid w:val="00EF0A25"/>
    <w:rsid w:val="00F300D3"/>
    <w:rsid w:val="00F47F13"/>
    <w:rsid w:val="00F63D61"/>
    <w:rsid w:val="00F64276"/>
    <w:rsid w:val="00F94E5C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1202"/>
  <w15:chartTrackingRefBased/>
  <w15:docId w15:val="{2629552B-6C5B-44E9-AF8F-9F98BD1A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7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73D9"/>
  </w:style>
  <w:style w:type="paragraph" w:styleId="a5">
    <w:name w:val="header"/>
    <w:basedOn w:val="a"/>
    <w:link w:val="a6"/>
    <w:uiPriority w:val="99"/>
    <w:unhideWhenUsed/>
    <w:rsid w:val="00B9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0C3"/>
  </w:style>
  <w:style w:type="paragraph" w:styleId="a7">
    <w:name w:val="List Paragraph"/>
    <w:basedOn w:val="a"/>
    <w:uiPriority w:val="34"/>
    <w:qFormat/>
    <w:rsid w:val="00821A35"/>
    <w:pPr>
      <w:ind w:left="720"/>
      <w:contextualSpacing/>
    </w:pPr>
  </w:style>
  <w:style w:type="paragraph" w:customStyle="1" w:styleId="Default">
    <w:name w:val="Default"/>
    <w:rsid w:val="00C8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6C27-2945-4DE0-AC0E-CE5236E8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Andrei ERMURACHI</cp:lastModifiedBy>
  <cp:revision>7</cp:revision>
  <cp:lastPrinted>2023-09-27T10:35:00Z</cp:lastPrinted>
  <dcterms:created xsi:type="dcterms:W3CDTF">2023-09-25T11:15:00Z</dcterms:created>
  <dcterms:modified xsi:type="dcterms:W3CDTF">2023-09-27T10:45:00Z</dcterms:modified>
</cp:coreProperties>
</file>